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5" w:rsidRPr="00385AA5" w:rsidRDefault="00385AA5" w:rsidP="00385AA5">
      <w:pPr>
        <w:pBdr>
          <w:bottom w:val="single" w:sz="12" w:space="8" w:color="FF3547"/>
        </w:pBdr>
        <w:shd w:val="clear" w:color="auto" w:fill="FFFFFF"/>
        <w:spacing w:before="45" w:after="345" w:line="240" w:lineRule="auto"/>
        <w:outlineLvl w:val="1"/>
        <w:rPr>
          <w:rFonts w:ascii="Arial" w:eastAsia="Times New Roman" w:hAnsi="Arial" w:cs="Arial"/>
          <w:caps/>
          <w:color w:val="444444"/>
          <w:sz w:val="29"/>
          <w:szCs w:val="29"/>
          <w:lang w:eastAsia="pl-PL"/>
        </w:rPr>
      </w:pPr>
      <w:r w:rsidRPr="00385AA5">
        <w:rPr>
          <w:rFonts w:ascii="Arial" w:eastAsia="Times New Roman" w:hAnsi="Arial" w:cs="Arial"/>
          <w:caps/>
          <w:color w:val="444444"/>
          <w:sz w:val="29"/>
          <w:szCs w:val="29"/>
          <w:lang w:eastAsia="pl-PL"/>
        </w:rPr>
        <w:t>DODATEK MIESZKANIOWY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Dodatek mieszkaniowy - zmiany od 1 lipca 2021 r.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Od dnia 1 lipca 2021 r. w związku z nowelizacją ustawy z dnia 21 czerwca 2001 r. o dodatkach mieszkaniowych (</w:t>
      </w:r>
      <w:proofErr w:type="spellStart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t.j</w:t>
      </w:r>
      <w:proofErr w:type="spellEnd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. Dz. U. z 2019 r. poz. 2133. z 2021 r. poz.11) wprowadzonych ustawą z dnia 10 grudnia 2020 r. o zmianie niektórych ustaw wspierających rozwój mieszkalnictwa (Dz. U. z 2021 r. poz. 11) obowiązują nowe regulacje prawne dotyczące zasad przyznania dodatku mieszkaniowego.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Osoby uprawnione do dodatku mieszkaniowego:</w:t>
      </w:r>
    </w:p>
    <w:p w:rsidR="00385AA5" w:rsidRPr="00385AA5" w:rsidRDefault="00385AA5" w:rsidP="00385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najemcy lub podnajemcy lokali mieszkalnych, zamieszkujący w tych lokalach;</w:t>
      </w:r>
    </w:p>
    <w:p w:rsidR="00385AA5" w:rsidRPr="00385AA5" w:rsidRDefault="00385AA5" w:rsidP="00385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osoby mieszkające w lokalach mieszkalnych, do których przysługuje im spółdzielcze prawo do lokalu mieszkalnego;</w:t>
      </w:r>
    </w:p>
    <w:p w:rsidR="00385AA5" w:rsidRPr="00385AA5" w:rsidRDefault="00385AA5" w:rsidP="00385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osoby mieszkające w lokalach mieszkalnych znajdujących się w budynkach stanowiących ich własność oraz właściciele samodzielnych lokali mieszkalnych;</w:t>
      </w:r>
    </w:p>
    <w:p w:rsidR="00385AA5" w:rsidRPr="00385AA5" w:rsidRDefault="00385AA5" w:rsidP="00385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inne osoby mające tytuł prawny do zajmowanego lokalu mieszkalnego i ponoszące wydatki związane z jego zajmowaniem;</w:t>
      </w:r>
    </w:p>
    <w:p w:rsidR="00385AA5" w:rsidRPr="00385AA5" w:rsidRDefault="00385AA5" w:rsidP="00385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osoby zajmujące lokal mieszkalny bez tytułu prawnego, oczekujące na przysługujący im lokal zamienny albo najem socjalny lokalu.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Dodatek mieszkaniowy przysługuje:</w:t>
      </w:r>
    </w:p>
    <w:p w:rsidR="00385AA5" w:rsidRPr="00385AA5" w:rsidRDefault="00385AA5" w:rsidP="00385A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związku z zamieszkiwaniem w jednym lokalu mieszkalnym albo zajmowaniem jednego lokalu mieszkalnego,</w:t>
      </w:r>
    </w:p>
    <w:p w:rsidR="00385AA5" w:rsidRPr="00385AA5" w:rsidRDefault="00385AA5" w:rsidP="00385A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może także przysługiwać na podstawie więcej niż jednego tytułu prawnego wymienionego powyżej.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Kryteria dochodowe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Dodatek mieszkaniowy przysługuje, jeżeli średni miesięczny dochód na jednego członka gospodarstwa domowego w okresie 3 miesięcy – poprzedzających datę złożenia wniosku nie przekroczy:</w:t>
      </w:r>
    </w:p>
    <w:p w:rsidR="00385AA5" w:rsidRPr="00385AA5" w:rsidRDefault="00385AA5" w:rsidP="00385A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gospodarstwie jednoosobowym 40% przeciętnego wynagrodzenia </w:t>
      </w: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tj. 2 066,99 zł;</w:t>
      </w:r>
    </w:p>
    <w:p w:rsidR="00385AA5" w:rsidRPr="00385AA5" w:rsidRDefault="00385AA5" w:rsidP="00385A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gospodarstwie wieloosobowym 30% przeciętnego wynagrodzenia </w:t>
      </w: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tj. 1 550,24 zł.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Przez gospodarstwo domowe rozumie się gospodarstwo prowadzone przez osobę ubiegającą się o przyznanie dodatku mieszkaniowego, samodzielnie zajmującą lokal mieszkalny albo gospodarstwo prowadzone przez tę osobę wspólnie z małżonkiem i innymi osobami stale z nią zamieszkującymi i gospodarującymi, które swoje prawa do zamieszkiwania w lokalu wywodzą z prawa tej osoby. Do członków gospodarstwa domowego nie wlicza się osób przebywających w instytucjach zapewniających nieodpłatnie pełne całodobowe utrzymanie.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 xml:space="preserve">Przy wydawaniu decyzji o przyznaniu dodatku mieszkaniowego uwzględnia się kwotę przeciętnego wynagrodzenia w gospodarce narodowej, obowiązującego w dniu złożenia wniosku, ostatnio ogłoszonego przez Prezesa Głównego Urzędu Statystycznego na podstawie art.20 pkt 1 </w:t>
      </w:r>
      <w:proofErr w:type="spellStart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lit.a</w:t>
      </w:r>
      <w:proofErr w:type="spellEnd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 xml:space="preserve"> ustawy z dnia 17 grudnia 1998 r. o emeryturach i rentach z Funduszu Ubezpieczeń Społecznych.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Przeciętne wynagrodzenie, o którym mowa powyżej wynosi obecnie </w:t>
      </w: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5167,47 zł.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Zasady wyliczenia dochodu</w:t>
      </w:r>
    </w:p>
    <w:p w:rsidR="00385AA5" w:rsidRPr="00385AA5" w:rsidRDefault="00385AA5" w:rsidP="00385A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 xml:space="preserve">Wysokość dochodu z pozarolniczej działalności gospodarczej, w przypadku prowadzenia działalności opodatkowanej na zasadach określonych w przepisach ustawy z dnia 26 lipca 1991 r. o podatku dochodowym od osób fizycznych, ustala się na podstawie 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lastRenderedPageBreak/>
        <w:t>oświadczenia wnioskodawcy lub zaświadczenia wydanego przez naczelnika właściwego urzędu skarbowego.</w:t>
      </w:r>
    </w:p>
    <w:p w:rsidR="00385AA5" w:rsidRPr="00385AA5" w:rsidRDefault="00385AA5" w:rsidP="00385A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przypadku ustalania dochodu z działalności podlegającej opodatkowaniu na podstawie przepisów ustawy z dnia 20 listopada 1998r. o zryczałtowanym podatku dochodowym od niektórych przychodów osiąganych przez osoby fizyczne przyjmuje się dochód miesięczny w wysokości 1/12 dochodu ogłaszanego corocznie, w drodze obwieszczenia ministra właściwego do spraw rodziny, o którym mowa w art.5 ust. 7a ustawy z dnia 28 listopada 2003 r. oświadczeniach rodzinnych.</w:t>
      </w:r>
    </w:p>
    <w:p w:rsidR="00385AA5" w:rsidRPr="00385AA5" w:rsidRDefault="00385AA5" w:rsidP="00385A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przypadku posiadania tytułu prawnego do gospodarstwa rolnego dochód z tego gospodarstwa ustala się na podstawie powierzchni gruntów w hektarach przeliczeniowych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i wysokości przeciętnego dochodu z pracy w indywidualnych gospodarstwach rolnych z 1 ha przeliczeniowego, ostatnio ogłaszanego przez Prezesa Głównego Urzędu Statystycznego na podstawie art. 18 ustawy z dnia 15 listopada 1984 r. o podatku rolnym.</w:t>
      </w:r>
    </w:p>
    <w:p w:rsidR="00385AA5" w:rsidRDefault="00385AA5" w:rsidP="00385A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Nie uwzględnia się dochodu osoby, która przebywa w instytucji zapewniającej nieodpłatne pełne całodobowe utrzymanie, wyprowadziła się lub zmarła przed dniem złożenia wniosku.</w:t>
      </w:r>
    </w:p>
    <w:p w:rsidR="00385AA5" w:rsidRPr="00385AA5" w:rsidRDefault="00385AA5" w:rsidP="00385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Definicja dochodu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Za dochód uważa się dochód w rozumieniu art. 3 pkt 1 ustawy z dnia 28 listopada 2003 r. o świadczeniach rodzinnych. Oznacza to, po odliczeniu kwot alimentów świadczonych na rzecz innych osób:</w:t>
      </w:r>
    </w:p>
    <w:p w:rsidR="00385AA5" w:rsidRPr="00385AA5" w:rsidRDefault="00385AA5" w:rsidP="00385A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przychody podlegające opodatkowaniu na zasadach określonych w art. 27, art.30b, art. 30c, art. 30e, art. 30f ustawy z dnia 26 lipca 1991 r. o podatku dochodowym od osób fizycznych, pomniejszone o koszty uzyskania przychodu, należny podatek dochodowy od osób fizycznych, składki na ubezpieczenie społeczne niezaliczone do kosztów uzyskania przychodu oraz składki na ubezpieczenie zdrowotne.</w:t>
      </w:r>
    </w:p>
    <w:p w:rsidR="00385AA5" w:rsidRPr="00385AA5" w:rsidRDefault="00385AA5" w:rsidP="00385A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Dochodem są także, inne dochody niepodlegające opodatkowaniu na podstawie przepisów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 xml:space="preserve">o podatku dochodowym od osób fizycznych </w:t>
      </w:r>
      <w:proofErr w:type="spellStart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np</w:t>
      </w:r>
      <w:proofErr w:type="spellEnd"/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: alimenty na rzecz dzieci, stypendia doktoranckie, dochody uzyskane z gospodarstwa rolnego, świadczenia z funduszu alimentacyjnego, pomoc materialną o charakterze socjalnym (stypendia szkolne, zasiłek szkolny), świadczenie rodzicielskie.</w:t>
      </w:r>
    </w:p>
    <w:p w:rsid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Normatywna powierzchnia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Dodatek mieszkaniowy przysługuje, gdy powierzchnia użytkowa lokalu nie przekracza określonej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dla danej liczby osób powierzchni normatywnej o więcej niż 30% (lub 50% jeśli wielkość pokoi i kuchni nie przekracza 60% powierzchni całego lokalu).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35 m²– dla 1 osoby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40 m²– dla 2 osób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45 m²– dla 3 osób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55 m²– dla 4 osób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65 m²– dla 5 osób</w:t>
      </w:r>
    </w:p>
    <w:p w:rsidR="00385AA5" w:rsidRPr="00385AA5" w:rsidRDefault="00385AA5" w:rsidP="00385A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70 m²– dla 6 osób, a w razie zamieszkiwania w lokalu większej liczby osób dla każdej kolejnej osoby zwiększa się normatywną powierzchnię użytkową o 5 m².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 xml:space="preserve">Normatywną powierzchnię powiększa się o 15 m², jeżeli w lokalu mieszkalnym zamieszkuje osoba niepełnosprawna poruszająca się na wózku inwalidzkim lub osoba niepełnosprawna, której niepełnosprawność wymaga zamieszkiwania w oddzielnym 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lastRenderedPageBreak/>
        <w:t>pokoju. Normatywną powierzchnię powiększa się niezależnie od liczby członków gospodarstwa domowego. O wymogu zamieszkiwania w oddzielnym pokoju orzekają powiatowe zespoły do spraw orzekania o niepełnosprawności, o których mowa w ustawie z dnia 27 sierpnia 1997 r. o rehabilitacji zawodowej i społecznej oraz zatrudnianiu osób niepełnosprawnych.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Dodatku mieszkaniowego nie przyznaje się, jeżeli jego kwota byłaby niższa niż 0,5 % kwoty przeciętnego wynagrodzenia w gospodarce narodowej obowiązującego w dniu wydania decyzji.</w:t>
      </w: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Wydatki za lokal mieszkalny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Wydatkami poniesionymi przez osobę ubiegającą się o dodatek mieszkaniowy są świadczenia okresowe ponoszone przez gospodarstwo domowe w związku z zajmowaniem lokalu mieszkalnego.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Wydatkami, o których mowa powyżej są: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czynsz;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koszty, o których mowa w art.28 ust.3 pkt 2 ustawy z dnia 26 października 1995 r. o niektórych formach popierania budownictwa mieszkaniowego;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opłaty związane z eksploatacją i utrzymaniem nieruchomości w częściach przypadających na lokale mieszkalne w spółdzielni mieszkaniowej;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zaliczki na koszty zarządu nieruchomością wspólną;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odszkodowanie za zajmowanie lokalu bez tytułu prawnego;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inne niż wymienione w pkt 1–5 opłaty za używanie lokalu mieszkalnego;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opłaty za energię cieplną, wodę, ścieki, odpady i nieczystości ciekłe;</w:t>
      </w:r>
    </w:p>
    <w:p w:rsidR="00385AA5" w:rsidRPr="00385AA5" w:rsidRDefault="00385AA5" w:rsidP="00385A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wydatek stanowiący podstawę obliczania ryczałtu na zakup opału.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Zarządca budynku albo inna osoba uprawniona do pobierania należności za lokal mieszkalny potwierdza we wniosku o przyznanie dodatku mieszkaniowego wysokość poniesionych wydatków związanych z zajmowaniem lokalu mieszkalnego </w:t>
      </w: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w miesiącu poprzedzającym dzień złożenia wniosku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np. jeśli wniosek składany jest w lipcu 2021 r. wydatki poniesione w czerwcu 2021 r.</w:t>
      </w:r>
    </w:p>
    <w:p w:rsid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</w:p>
    <w:p w:rsidR="00385AA5" w:rsidRPr="00385AA5" w:rsidRDefault="00385AA5" w:rsidP="00385AA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</w:pPr>
      <w:bookmarkStart w:id="0" w:name="_GoBack"/>
      <w:bookmarkEnd w:id="0"/>
      <w:r w:rsidRPr="00385AA5">
        <w:rPr>
          <w:rFonts w:ascii="Arial" w:eastAsia="Times New Roman" w:hAnsi="Arial" w:cs="Arial"/>
          <w:b/>
          <w:bCs/>
          <w:color w:val="444444"/>
          <w:sz w:val="26"/>
          <w:szCs w:val="26"/>
          <w:lang w:eastAsia="pl-PL"/>
        </w:rPr>
        <w:t>Wysokość dodatku mieszkaniowego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Wysokość dodatku mieszkaniowego stanowi różnicę między poniesionymi wydatkami, przypadającymi na normatywną powierzchnię użytkową zajmowanego lokalu mieszkalnego, a kwotą wydatków poniesionych przez osobę ubiegającą się o dodatek mieszkaniowy w wysokości:</w:t>
      </w:r>
    </w:p>
    <w:p w:rsidR="00385AA5" w:rsidRPr="00385AA5" w:rsidRDefault="00385AA5" w:rsidP="00385AA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15% dochodów gospodarstwa domowego – w gospodarstwie jednoosobowym;</w:t>
      </w:r>
    </w:p>
    <w:p w:rsidR="00385AA5" w:rsidRPr="00385AA5" w:rsidRDefault="00385AA5" w:rsidP="00385AA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12% dochodów gospodarstwa domowego –w gospodarstwie 2–4-osobowym;</w:t>
      </w:r>
    </w:p>
    <w:p w:rsidR="00385AA5" w:rsidRPr="00385AA5" w:rsidRDefault="00385AA5" w:rsidP="00385AA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10% dochodów gospodarstwa domowego –w gospodarstwie 5-osobowym i większym.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Dodatek mieszkaniowy nie przysługuje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Osobom przebywającym w instytucjach zapewniających nieodpłatne pełne całodobowe utrzymanie tj.: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dom pomocy społecznej;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młodzieżowy ośrodek wychowawczy;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schronisko dla nieletnich;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zakład poprawczy;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zakład karny;</w:t>
      </w:r>
    </w:p>
    <w:p w:rsidR="00385AA5" w:rsidRPr="00385AA5" w:rsidRDefault="00385AA5" w:rsidP="00385A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szkoła, w tym szkoła wojskowa.</w:t>
      </w:r>
    </w:p>
    <w:p w:rsidR="00385AA5" w:rsidRPr="00385AA5" w:rsidRDefault="00385AA5" w:rsidP="00385AA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b/>
          <w:bCs/>
          <w:color w:val="555555"/>
          <w:sz w:val="23"/>
          <w:szCs w:val="23"/>
          <w:lang w:eastAsia="pl-PL"/>
        </w:rPr>
        <w:t>Dodatkowe informacje: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lastRenderedPageBreak/>
        <w:t>Dodatek mieszkaniowy przyznaje się na okres 6 miesięcy, licząc od pierwszego dnia miesiąca następującego po dniu złożenia wniosku i wypłaca zarządcy budynku albo innej osobie uprawnionej do pobierania należności z lokal mieszkalny.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przypadku stwierdzenia, że osoba, której przyznano dodatek mieszkaniowy, nie opłaca na bieżąco należności za zajmowany lokal mieszkalny wypłatę dodatku wstrzymuje się w drodze decyzji administracyjnej, do czasu uregulowania zaległości. Jeżeli uregulowanie zaległości nie nastąpi w ciągu 3 miesięcy od daty wydania decyzji o wstrzymaniu, decyzja o przyznaniu dodatku mieszkaniowego wygasa. W przypadku uregulowania należności w ww. terminie wypłaca się dodatek mieszkaniowy za okres, w którym wypłata była wstrzymana.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Właściciel domu jednorodzinnego jest obowiązany dołączyć do wniosku o przyznanie dodatku mieszkaniowego dokumenty albo oświadczenie o wielkości powierzchni użytkowej, w tym łącznej powierzchni pokoi i kuchni, oraz o wyposażeniu technicznym domu. Oświadczenie,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o którym mowa powyżej, wnioskodawca składa pod rygorem odpowiedzialności karnej za składanie fałszywych oświadczeń. Wnioskodawca umieszcza w tych dokumentach klauzulę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w brzmieniu: ,,Jestem świadomy odpowiedzialności karnej za złożenie fałszywego oświadczenia.’’ Klauzula ta zastępuje pouczenie organu o odpowiedzialności karnej za składanie fałszywych oświadczeń.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W celu weryfikacji informacji i danych zawartych we wniosku o przyznanie dodatku mieszkaniowego i w deklaracji o dochodach gospodarstwa domowego oraz w oświadczeniu, o którym mowa w pkt 3, organ może wezwać wnioskodawcę do przekazania dodatkowych dokumentów potwierdzających te informacje i dane, wyznaczając termin nie krótszy niż 14 dni. Organ może odmówić przyznania dodatku mieszkaniowego w przypadku niedostarczenia wskazanych dokumentów w wyznaczonym terminie.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Organ przyznający dodatek mieszkaniowy odmawia jego przyznania, jeżeli w wyniku przeprowadzenia wywiadu środowiskowego ustali, że występuje rażąca dysproporcja między niskimi dochodami wykazanymi w złożonej deklaracji, a faktycznym stanem majątkowym wnioskodawcy, wskazującym, że jest on w stanie uiszczać wydatki związane z zajmowaniem lokalu mieszkalnego (domu jednorodzinnego) wykorzystując własne środki i posiadane zasoby majątkowe lub faktyczna liczba wspólnie stale zamieszkujących i gospodarujących</w:t>
      </w: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br/>
        <w:t>z wnioskodawcą jest mniejsza niż wykazana w deklaracji o wysokości dochodu. Niewyrażenie zgody na przeprowadzenie wywiadu środowiskowego stanowi podstawę do odmowy przyznania dodatku mieszkaniowego.</w:t>
      </w:r>
    </w:p>
    <w:p w:rsidR="00385AA5" w:rsidRPr="00385AA5" w:rsidRDefault="00385AA5" w:rsidP="00385A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85AA5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Upoważniony pracownik przeprowadzający wywiad środowiskowy może żądać od wnioskodawcy i innych członków gospodarstwa domowego złożenia, pod rygorem odpowiedzialności karnej, oświadczenia o stanie majątkowym, zawierającego w szczególności dane dotyczące posiadanych ruchomości i nieruchomości oraz zasobów pieniężnych. Odmowa złożenia oświadczenia stanowi podstawę do wydania decyzji o odmowie przyznania dodatku mieszkaniowego.</w:t>
      </w:r>
    </w:p>
    <w:p w:rsidR="00A23788" w:rsidRDefault="00A23788"/>
    <w:sectPr w:rsidR="00A2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D2F"/>
    <w:multiLevelType w:val="multilevel"/>
    <w:tmpl w:val="A84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64A"/>
    <w:multiLevelType w:val="multilevel"/>
    <w:tmpl w:val="3C0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0558"/>
    <w:multiLevelType w:val="multilevel"/>
    <w:tmpl w:val="68B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91B62"/>
    <w:multiLevelType w:val="multilevel"/>
    <w:tmpl w:val="6AC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356B3"/>
    <w:multiLevelType w:val="multilevel"/>
    <w:tmpl w:val="99C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82199"/>
    <w:multiLevelType w:val="multilevel"/>
    <w:tmpl w:val="4DA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21370"/>
    <w:multiLevelType w:val="multilevel"/>
    <w:tmpl w:val="D0A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134E"/>
    <w:multiLevelType w:val="multilevel"/>
    <w:tmpl w:val="806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C779A"/>
    <w:multiLevelType w:val="multilevel"/>
    <w:tmpl w:val="38D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64B78"/>
    <w:multiLevelType w:val="multilevel"/>
    <w:tmpl w:val="DB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03"/>
    <w:rsid w:val="001A5D03"/>
    <w:rsid w:val="00385AA5"/>
    <w:rsid w:val="00A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1604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2021-08-17T07:05:00Z</dcterms:created>
  <dcterms:modified xsi:type="dcterms:W3CDTF">2021-08-17T07:06:00Z</dcterms:modified>
</cp:coreProperties>
</file>