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Calibri" w:cstheme="minorHAnsi"/>
          <w:b/>
        </w:rPr>
      </w:pPr>
      <w:r>
        <w:rPr>
          <w:rFonts w:cs="Calibri" w:cstheme="minorHAnsi"/>
          <w:b/>
        </w:rPr>
        <w:t>FORMULARZ KONSULTACYJNY</w:t>
      </w:r>
    </w:p>
    <w:p>
      <w:pPr>
        <w:pStyle w:val="Normal"/>
        <w:spacing w:lineRule="auto" w:line="240" w:before="0" w:after="0"/>
        <w:jc w:val="center"/>
        <w:rPr>
          <w:rFonts w:cs="Calibri" w:cstheme="minorHAnsi"/>
          <w:b/>
        </w:rPr>
      </w:pPr>
      <w:r>
        <w:rPr>
          <w:rFonts w:cs="Calibri" w:cstheme="minorHAnsi"/>
          <w:b/>
        </w:rPr>
        <w:t>Prognozy oddziaływania na środowisko</w:t>
      </w:r>
    </w:p>
    <w:p>
      <w:pPr>
        <w:pStyle w:val="Normal"/>
        <w:spacing w:lineRule="auto" w:line="240" w:before="0" w:after="0"/>
        <w:jc w:val="center"/>
        <w:rPr>
          <w:rFonts w:cs="Calibri" w:cstheme="minorHAnsi"/>
          <w:b/>
        </w:rPr>
      </w:pPr>
      <w:r>
        <w:rPr>
          <w:rFonts w:cs="Calibri" w:cstheme="minorHAnsi"/>
          <w:b/>
        </w:rPr>
        <w:t>projektu Strategii terytorialnej Otuliny Roztocza na lata 2025 – 2030</w:t>
      </w:r>
    </w:p>
    <w:p>
      <w:pPr>
        <w:pStyle w:val="Normal"/>
        <w:spacing w:lineRule="auto" w:line="240" w:before="0" w:after="0"/>
        <w:jc w:val="both"/>
        <w:rPr>
          <w:rFonts w:cs="Calibri" w:cstheme="minorHAnsi"/>
          <w:b/>
        </w:rPr>
      </w:pPr>
      <w:r>
        <w:rPr>
          <w:rFonts w:cs="Calibri" w:cstheme="minorHAnsi"/>
          <w:b/>
        </w:rPr>
      </w:r>
    </w:p>
    <w:tbl>
      <w:tblPr>
        <w:tblW w:w="9062"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2550"/>
        <w:gridCol w:w="6511"/>
      </w:tblGrid>
      <w:tr>
        <w:trPr>
          <w:trHeight w:val="423" w:hRule="atLeast"/>
        </w:trPr>
        <w:tc>
          <w:tcPr>
            <w:tcW w:w="2550"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Imię i nazwisko</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sz w:val="20"/>
                <w:szCs w:val="20"/>
              </w:rPr>
            </w:pPr>
            <w:r>
              <w:rPr>
                <w:rFonts w:cs="Calibri" w:cstheme="minorHAnsi"/>
                <w:sz w:val="20"/>
                <w:szCs w:val="20"/>
              </w:rPr>
            </w:r>
          </w:p>
        </w:tc>
      </w:tr>
      <w:tr>
        <w:trPr>
          <w:trHeight w:val="429" w:hRule="atLeast"/>
        </w:trPr>
        <w:tc>
          <w:tcPr>
            <w:tcW w:w="2550"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Instytucja</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i/>
                <w:i/>
                <w:iCs/>
                <w:sz w:val="20"/>
                <w:szCs w:val="20"/>
              </w:rPr>
            </w:pPr>
            <w:r>
              <w:rPr>
                <w:rFonts w:cs="Calibri" w:cstheme="minorHAnsi"/>
                <w:i/>
                <w:iCs/>
                <w:sz w:val="20"/>
                <w:szCs w:val="20"/>
              </w:rPr>
              <w:t>Jeśli uwagi są zgłaszane przez instytucję</w:t>
            </w:r>
          </w:p>
        </w:tc>
      </w:tr>
      <w:tr>
        <w:trPr>
          <w:trHeight w:val="429" w:hRule="atLeast"/>
        </w:trPr>
        <w:tc>
          <w:tcPr>
            <w:tcW w:w="2550"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Adres do korespondencji</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i/>
                <w:i/>
                <w:iCs/>
                <w:sz w:val="20"/>
                <w:szCs w:val="20"/>
              </w:rPr>
            </w:pPr>
            <w:r>
              <w:rPr>
                <w:rFonts w:cs="Calibri" w:cstheme="minorHAnsi"/>
                <w:i/>
                <w:iCs/>
                <w:sz w:val="20"/>
                <w:szCs w:val="20"/>
              </w:rPr>
            </w:r>
          </w:p>
        </w:tc>
      </w:tr>
      <w:tr>
        <w:trPr>
          <w:trHeight w:val="387" w:hRule="atLeast"/>
        </w:trPr>
        <w:tc>
          <w:tcPr>
            <w:tcW w:w="2550"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Adres email</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sz w:val="20"/>
                <w:szCs w:val="20"/>
              </w:rPr>
            </w:pPr>
            <w:r>
              <w:rPr>
                <w:rFonts w:cs="Calibri" w:cstheme="minorHAnsi"/>
                <w:sz w:val="20"/>
                <w:szCs w:val="20"/>
              </w:rPr>
            </w:r>
          </w:p>
        </w:tc>
      </w:tr>
    </w:tbl>
    <w:p>
      <w:pPr>
        <w:pStyle w:val="Normal"/>
        <w:spacing w:before="0" w:after="0"/>
        <w:rPr>
          <w:rFonts w:cs="Calibri" w:cstheme="minorHAnsi"/>
        </w:rPr>
      </w:pPr>
      <w:r>
        <w:rPr>
          <w:rFonts w:cs="Calibri" w:cstheme="minorHAnsi"/>
        </w:rPr>
      </w:r>
    </w:p>
    <w:tbl>
      <w:tblPr>
        <w:tblW w:w="9062"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561"/>
        <w:gridCol w:w="1676"/>
        <w:gridCol w:w="2281"/>
        <w:gridCol w:w="2185"/>
        <w:gridCol w:w="2359"/>
      </w:tblGrid>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Lp.</w:t>
            </w:r>
          </w:p>
        </w:tc>
        <w:tc>
          <w:tcPr>
            <w:tcW w:w="1676"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Rozdział i nr strony w Prognozie</w:t>
            </w:r>
          </w:p>
        </w:tc>
        <w:tc>
          <w:tcPr>
            <w:tcW w:w="2281"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Treść Prognozy, do której odnosi się uwaga</w:t>
            </w:r>
          </w:p>
        </w:tc>
        <w:tc>
          <w:tcPr>
            <w:tcW w:w="2185"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Treść uwagi lub proponowany zapis</w:t>
            </w:r>
          </w:p>
        </w:tc>
        <w:tc>
          <w:tcPr>
            <w:tcW w:w="2359"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120" w:after="0"/>
              <w:jc w:val="center"/>
              <w:rPr>
                <w:rFonts w:cs="Calibri" w:cstheme="minorHAnsi"/>
                <w:b/>
                <w:bCs/>
                <w:sz w:val="20"/>
                <w:szCs w:val="20"/>
              </w:rPr>
            </w:pPr>
            <w:r>
              <w:rPr>
                <w:rFonts w:cs="Calibri" w:cstheme="minorHAnsi"/>
                <w:b/>
                <w:bCs/>
                <w:sz w:val="20"/>
                <w:szCs w:val="20"/>
              </w:rPr>
              <w:t>Uzasadnienie uwagi</w:t>
            </w:r>
          </w:p>
          <w:p>
            <w:pPr>
              <w:pStyle w:val="Normal"/>
              <w:spacing w:lineRule="auto" w:line="240" w:before="0" w:after="120"/>
              <w:jc w:val="center"/>
              <w:rPr>
                <w:rFonts w:cs="Calibri" w:cstheme="minorHAnsi"/>
                <w:b/>
                <w:bCs/>
                <w:sz w:val="20"/>
                <w:szCs w:val="20"/>
              </w:rPr>
            </w:pPr>
            <w:r>
              <w:rPr>
                <w:rFonts w:cs="Calibri" w:cstheme="minorHAnsi"/>
                <w:b/>
                <w:bCs/>
                <w:sz w:val="20"/>
                <w:szCs w:val="20"/>
              </w:rPr>
              <w:t>lub proponowanego zapisu</w:t>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bl>
    <w:p>
      <w:pPr>
        <w:pStyle w:val="Normal"/>
        <w:spacing w:lineRule="auto" w:line="240" w:before="0" w:after="0"/>
        <w:ind w:right="-1"/>
        <w:rPr>
          <w:rFonts w:cs="Calibri" w:cstheme="minorHAnsi"/>
          <w:i/>
          <w:i/>
          <w:sz w:val="18"/>
          <w:szCs w:val="18"/>
        </w:rPr>
      </w:pPr>
      <w:r>
        <w:rPr>
          <w:rFonts w:cs="Calibri" w:cstheme="minorHAnsi"/>
          <w:i/>
          <w:sz w:val="18"/>
          <w:szCs w:val="18"/>
        </w:rPr>
        <w:t>Kolejne wiersze w tabeli mogą zostać dodane.</w:t>
      </w:r>
    </w:p>
    <w:p>
      <w:pPr>
        <w:pStyle w:val="Normal"/>
        <w:spacing w:lineRule="auto" w:line="240" w:before="0" w:after="0"/>
        <w:ind w:right="-1"/>
        <w:rPr>
          <w:rFonts w:cs="Calibri" w:cstheme="minorHAnsi"/>
          <w:iCs/>
          <w:sz w:val="18"/>
          <w:szCs w:val="18"/>
        </w:rPr>
      </w:pPr>
      <w:r>
        <w:rPr>
          <w:rFonts w:cs="Calibri" w:cstheme="minorHAnsi"/>
          <w:iCs/>
          <w:sz w:val="18"/>
          <w:szCs w:val="18"/>
        </w:rPr>
      </w:r>
    </w:p>
    <w:p>
      <w:pPr>
        <w:pStyle w:val="Normal"/>
        <w:spacing w:lineRule="auto" w:line="240" w:before="0" w:after="0"/>
        <w:ind w:right="-1"/>
        <w:jc w:val="both"/>
        <w:rPr>
          <w:rFonts w:cs="Calibri" w:cstheme="minorHAnsi"/>
          <w:b/>
          <w:bCs/>
          <w:iCs/>
          <w:sz w:val="20"/>
          <w:szCs w:val="20"/>
        </w:rPr>
      </w:pPr>
      <w:r>
        <w:rPr>
          <w:rFonts w:cs="Calibri" w:cstheme="minorHAnsi"/>
          <w:iCs/>
          <w:sz w:val="20"/>
          <w:szCs w:val="20"/>
        </w:rPr>
        <w:t xml:space="preserve">Wypełniony formularz prosimy przesłać pocztą elektroniczną na adres: </w:t>
      </w:r>
      <w:r>
        <w:rPr>
          <w:rFonts w:cs="Calibri" w:cstheme="minorHAnsi"/>
          <w:b/>
          <w:bCs/>
          <w:iCs/>
          <w:sz w:val="20"/>
          <w:szCs w:val="20"/>
        </w:rPr>
        <w:t>a.liwak@bychawa.pl</w:t>
      </w:r>
      <w:r>
        <w:rPr>
          <w:rFonts w:cs="Calibri" w:cstheme="minorHAnsi"/>
          <w:iCs/>
          <w:sz w:val="20"/>
          <w:szCs w:val="20"/>
        </w:rPr>
        <w:t xml:space="preserve"> (w formacie możliwym do edycji - doc., docx.) lub w wersji papierowej na adres pocztowy: Urząd Miejski w Bychawie, ul. Partyzantów 1, 23-100 Bychawa </w:t>
      </w:r>
      <w:r>
        <w:rPr>
          <w:rFonts w:cs="Calibri" w:cstheme="minorHAnsi"/>
          <w:b/>
          <w:bCs/>
          <w:iCs/>
          <w:sz w:val="20"/>
          <w:szCs w:val="20"/>
        </w:rPr>
        <w:t>do dnia</w:t>
      </w:r>
      <w:r>
        <w:rPr>
          <w:rFonts w:cs="Calibri" w:cstheme="minorHAnsi"/>
          <w:b/>
          <w:bCs/>
          <w:iCs/>
          <w:sz w:val="20"/>
          <w:szCs w:val="20"/>
        </w:rPr>
        <w:t xml:space="preserve"> </w:t>
      </w:r>
      <w:r>
        <w:rPr>
          <w:rFonts w:cs="Calibri" w:cstheme="minorHAnsi"/>
          <w:b/>
          <w:bCs/>
          <w:iCs/>
          <w:sz w:val="20"/>
          <w:szCs w:val="20"/>
          <w:shd w:fill="FFFFFF" w:val="clear"/>
        </w:rPr>
        <w:t xml:space="preserve">25 lipca 2025 </w:t>
      </w:r>
      <w:r>
        <w:rPr>
          <w:rFonts w:cs="Calibri" w:cstheme="minorHAnsi"/>
          <w:b/>
          <w:bCs/>
          <w:iCs/>
          <w:sz w:val="20"/>
          <w:szCs w:val="20"/>
          <w:shd w:fill="FFFFFF" w:val="clear"/>
        </w:rPr>
        <w:t>r.</w:t>
      </w:r>
      <w:r>
        <w:rPr>
          <w:rFonts w:cs="Calibri" w:cstheme="minorHAnsi"/>
          <w:b/>
          <w:bCs/>
          <w:iCs/>
          <w:sz w:val="20"/>
          <w:szCs w:val="20"/>
          <w:shd w:fill="FFFFFF" w:val="clear"/>
        </w:rPr>
        <w:t xml:space="preserve"> </w:t>
      </w:r>
    </w:p>
    <w:p>
      <w:pPr>
        <w:pStyle w:val="Normal"/>
        <w:spacing w:lineRule="auto" w:line="240" w:before="0" w:after="0"/>
        <w:ind w:right="-1"/>
        <w:jc w:val="both"/>
        <w:rPr>
          <w:rFonts w:cs="Calibri" w:cstheme="minorHAnsi"/>
          <w:iCs/>
          <w:sz w:val="20"/>
          <w:szCs w:val="20"/>
        </w:rPr>
      </w:pPr>
      <w:r>
        <w:rPr>
          <w:rFonts w:cs="Calibri" w:cstheme="minorHAnsi"/>
          <w:iCs/>
          <w:sz w:val="20"/>
          <w:szCs w:val="20"/>
        </w:rPr>
        <w:t>W przypadku uwag składanych pocztą tradycyjną decyduje data stempla pocztowego.</w:t>
      </w:r>
    </w:p>
    <w:p>
      <w:pPr>
        <w:pStyle w:val="Normal"/>
        <w:spacing w:lineRule="auto" w:line="240" w:before="0" w:after="0"/>
        <w:ind w:right="-1"/>
        <w:jc w:val="both"/>
        <w:rPr>
          <w:rFonts w:cs="Calibri" w:cstheme="minorHAnsi"/>
          <w:i/>
          <w:i/>
          <w:sz w:val="20"/>
          <w:szCs w:val="20"/>
        </w:rPr>
      </w:pPr>
      <w:r>
        <w:rPr>
          <w:rFonts w:cs="Calibri" w:cstheme="minorHAnsi"/>
          <w:iCs/>
          <w:sz w:val="20"/>
          <w:szCs w:val="20"/>
        </w:rPr>
        <w:t>W tytule maila lub dopisku na kopercie proszę wpisać: „</w:t>
      </w:r>
      <w:r>
        <w:rPr>
          <w:rFonts w:cs="Calibri" w:cstheme="minorHAnsi"/>
          <w:i/>
          <w:sz w:val="20"/>
          <w:szCs w:val="20"/>
        </w:rPr>
        <w:t>Konsultacje społeczne projektu Strategii Otuliny Roztocza wraz z Prognozą OŚ”</w:t>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t xml:space="preserve">Wysyłając formularz oświadczają Państwo, że zapoznali się i akceptują treść poniższej klauzuli informacyjnej RODO. </w:t>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before="0" w:after="0"/>
        <w:jc w:val="center"/>
        <w:rPr>
          <w:rFonts w:eastAsia="SimSun" w:cs="Calibri" w:cstheme="minorHAnsi"/>
          <w:b/>
          <w:bCs/>
          <w:sz w:val="20"/>
          <w:szCs w:val="20"/>
        </w:rPr>
      </w:pPr>
      <w:r>
        <w:rPr>
          <w:rFonts w:eastAsia="SimSun" w:cs="Calibri" w:cstheme="minorHAnsi"/>
          <w:b/>
          <w:bCs/>
          <w:sz w:val="20"/>
          <w:szCs w:val="20"/>
        </w:rPr>
        <w:t>Klauzula informacyjna o przetwarzaniu danych osobowych w związku z prowadzonymi konsultacjami społecznymi projektu Strategii terytorialnej Otuliny Roztocza na lata 2025 – 2030</w:t>
      </w:r>
    </w:p>
    <w:p>
      <w:pPr>
        <w:pStyle w:val="Normal"/>
        <w:spacing w:before="0" w:after="0"/>
        <w:jc w:val="center"/>
        <w:rPr>
          <w:rFonts w:eastAsia="SimSun" w:cs="Calibri" w:cstheme="minorHAnsi"/>
          <w:b/>
          <w:bCs/>
          <w:sz w:val="20"/>
          <w:szCs w:val="20"/>
        </w:rPr>
      </w:pPr>
      <w:r>
        <w:rPr>
          <w:rFonts w:eastAsia="SimSun" w:cs="Calibri" w:cstheme="minorHAnsi"/>
          <w:b/>
          <w:bCs/>
          <w:sz w:val="20"/>
          <w:szCs w:val="20"/>
        </w:rPr>
        <w:t>wraz z Prognozą oddziaływania na środowisko</w:t>
      </w:r>
    </w:p>
    <w:p>
      <w:pPr>
        <w:pStyle w:val="Normal"/>
        <w:suppressAutoHyphens w:val="true"/>
        <w:spacing w:before="0" w:after="0"/>
        <w:rPr>
          <w:rFonts w:eastAsia="SimSun" w:cs="Calibri" w:cstheme="minorHAnsi"/>
          <w:b/>
          <w:bCs/>
          <w:sz w:val="20"/>
          <w:szCs w:val="20"/>
          <w:u w:val="single"/>
        </w:rPr>
      </w:pPr>
      <w:r>
        <w:rPr>
          <w:rFonts w:eastAsia="SimSun" w:cs="Calibri" w:cstheme="minorHAnsi"/>
          <w:b/>
          <w:bCs/>
          <w:sz w:val="20"/>
          <w:szCs w:val="20"/>
          <w:u w:val="single"/>
        </w:rPr>
      </w:r>
    </w:p>
    <w:p>
      <w:pPr>
        <w:pStyle w:val="Normal"/>
        <w:suppressAutoHyphens w:val="true"/>
        <w:spacing w:before="0" w:after="0"/>
        <w:jc w:val="both"/>
        <w:rPr>
          <w:rFonts w:eastAsia="SimSun" w:cs="Calibri" w:cstheme="minorHAnsi"/>
          <w:bCs/>
          <w:color w:val="000000"/>
          <w:sz w:val="20"/>
          <w:szCs w:val="20"/>
          <w:shd w:fill="FFFFFF" w:val="clear"/>
        </w:rPr>
      </w:pPr>
      <w:r>
        <w:rPr>
          <w:rFonts w:eastAsia="SimSun" w:cs="Calibri" w:cstheme="minorHAnsi"/>
          <w:bCs/>
          <w:color w:val="000000"/>
          <w:sz w:val="20"/>
          <w:szCs w:val="20"/>
          <w:shd w:fill="FFFFFF" w:val="clear"/>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(tzw.„RODO”).</w:t>
      </w:r>
    </w:p>
    <w:p>
      <w:pPr>
        <w:pStyle w:val="Normal"/>
        <w:suppressAutoHyphens w:val="true"/>
        <w:spacing w:before="0" w:after="0"/>
        <w:jc w:val="both"/>
        <w:rPr>
          <w:rFonts w:eastAsia="SimSun" w:cs="Calibri" w:cstheme="minorHAnsi"/>
          <w:bCs/>
          <w:color w:val="000000"/>
          <w:sz w:val="20"/>
          <w:szCs w:val="20"/>
          <w:shd w:fill="FFFFFF" w:val="clear"/>
        </w:rPr>
      </w:pPr>
      <w:r>
        <w:rPr>
          <w:rFonts w:eastAsia="SimSun" w:cs="Calibri" w:cstheme="minorHAnsi"/>
          <w:bCs/>
          <w:color w:val="000000"/>
          <w:sz w:val="20"/>
          <w:szCs w:val="20"/>
          <w:shd w:fill="FFFFFF" w:val="clear"/>
        </w:rPr>
        <w:t>Wobec powyższego informujemy, że:</w:t>
      </w:r>
    </w:p>
    <w:p>
      <w:pPr>
        <w:pStyle w:val="ListParagraph"/>
        <w:numPr>
          <w:ilvl w:val="0"/>
          <w:numId w:val="5"/>
        </w:numPr>
        <w:suppressAutoHyphens w:val="true"/>
        <w:spacing w:before="0" w:after="0"/>
        <w:ind w:hanging="284" w:left="284"/>
        <w:contextualSpacing/>
        <w:jc w:val="both"/>
        <w:rPr>
          <w:rFonts w:eastAsia="SimSun" w:cs="Calibri" w:cstheme="minorHAnsi"/>
          <w:bCs/>
          <w:sz w:val="20"/>
          <w:szCs w:val="20"/>
        </w:rPr>
      </w:pPr>
      <w:r>
        <w:rPr>
          <w:rFonts w:eastAsia="SimSun" w:cs="Calibri" w:cstheme="minorHAnsi"/>
          <w:bCs/>
          <w:sz w:val="20"/>
          <w:szCs w:val="20"/>
        </w:rPr>
        <w:t xml:space="preserve">Administratorem Państwa danych osobowych jest </w:t>
      </w:r>
      <w:r>
        <w:rPr>
          <w:rFonts w:eastAsia="SimSun" w:cs="Calibri" w:cstheme="minorHAnsi"/>
          <w:b/>
          <w:bCs/>
          <w:sz w:val="20"/>
          <w:szCs w:val="20"/>
          <w:shd w:fill="auto" w:val="clear"/>
        </w:rPr>
        <w:t>Burmistrz Bychawy z siedzibą: Urząd Miejski w Bychawie, ul. Partyzantów 1, 23-100 Bychawa</w:t>
      </w:r>
      <w:r>
        <w:rPr>
          <w:rFonts w:eastAsia="SimSun" w:cs="Calibri" w:cstheme="minorHAnsi"/>
          <w:bCs/>
          <w:sz w:val="20"/>
          <w:szCs w:val="20"/>
        </w:rPr>
        <w:t xml:space="preserve">, e-mail: </w:t>
      </w:r>
      <w:r>
        <w:rPr>
          <w:rFonts w:eastAsia="SimSun" w:cs="Calibri" w:cstheme="minorHAnsi"/>
          <w:b/>
          <w:bCs/>
          <w:sz w:val="20"/>
          <w:szCs w:val="20"/>
          <w:shd w:fill="FFFFFF" w:val="clear"/>
        </w:rPr>
        <w:t>burmistrz@bychawa.pl</w:t>
      </w:r>
    </w:p>
    <w:p>
      <w:pPr>
        <w:pStyle w:val="Normal"/>
        <w:numPr>
          <w:ilvl w:val="0"/>
          <w:numId w:val="2"/>
        </w:numPr>
        <w:suppressAutoHyphens w:val="true"/>
        <w:spacing w:before="0" w:after="0"/>
        <w:ind w:hanging="284" w:left="284"/>
        <w:jc w:val="both"/>
        <w:rPr/>
      </w:pPr>
      <w:r>
        <w:rPr>
          <w:rFonts w:eastAsia="SimSun" w:cs="Calibri" w:cstheme="minorHAnsi"/>
          <w:bCs/>
          <w:sz w:val="20"/>
          <w:szCs w:val="20"/>
        </w:rPr>
        <w:t>Dane kontaktowe inspektora ochrony danych osobowych:</w:t>
      </w:r>
      <w:r>
        <w:rPr>
          <w:rFonts w:eastAsia="SimSun" w:cs="Calibri" w:cstheme="minorHAnsi"/>
          <w:b/>
          <w:bCs/>
          <w:sz w:val="20"/>
          <w:szCs w:val="20"/>
        </w:rPr>
        <w:t xml:space="preserve"> </w:t>
      </w:r>
      <w:r>
        <w:rPr>
          <w:rFonts w:eastAsia="SimSun" w:cs="Calibri" w:cstheme="minorHAnsi"/>
          <w:b/>
          <w:bCs/>
          <w:sz w:val="20"/>
          <w:szCs w:val="20"/>
        </w:rPr>
        <w:t xml:space="preserve">Łukasz Kalinowski </w:t>
      </w:r>
      <w:r>
        <w:rPr>
          <w:rFonts w:eastAsia="SimSun" w:cs="Calibri" w:cstheme="minorHAnsi"/>
          <w:b w:val="false"/>
          <w:bCs w:val="false"/>
          <w:sz w:val="20"/>
          <w:szCs w:val="20"/>
          <w:shd w:fill="FFFFFF" w:val="clear"/>
        </w:rPr>
        <w:t>(mail</w:t>
      </w:r>
      <w:r>
        <w:rPr>
          <w:rFonts w:eastAsia="SimSun" w:cs="Calibri" w:cstheme="minorHAnsi"/>
          <w:b w:val="false"/>
          <w:bCs w:val="false"/>
          <w:sz w:val="20"/>
          <w:szCs w:val="20"/>
          <w:shd w:fill="FFFFFF" w:val="clear"/>
        </w:rPr>
        <w:t xml:space="preserve">) </w:t>
      </w:r>
      <w:r>
        <w:rPr>
          <w:rFonts w:eastAsia="SimSun" w:cs="Calibri" w:cstheme="minorHAnsi"/>
          <w:b/>
          <w:bCs/>
          <w:sz w:val="20"/>
          <w:szCs w:val="20"/>
          <w:shd w:fill="FFFFFF" w:val="clear"/>
        </w:rPr>
        <w:t>lukasz.kalinowski@cbi24.pl</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 xml:space="preserve">Dane osobowe przetwarzane będą </w:t>
      </w:r>
      <w:r>
        <w:rPr>
          <w:rFonts w:eastAsia="Calibri" w:cs="Calibri" w:cstheme="minorHAnsi"/>
          <w:bCs/>
          <w:sz w:val="20"/>
          <w:szCs w:val="20"/>
        </w:rPr>
        <w:t xml:space="preserve">w związku z prowadzonymi konsultacjami społecznymi projektu terytorialnej Otuliny Roztocza na lata 2025 – 2030 wraz z Prognozą oddziaływania na środowisko. </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Dane osobowe będą przechowywane przez obowiązkowy okres przechowywania dokumentacji związanej z obsługą konsultacji społecznych oraz przez okres niezbędny dla celów archiwizacji zgodnie z odrębnymi przepisami.</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 xml:space="preserve">Pani/Pana dane nie będą przetwarzane w sposób zautomatyzowany, w tym nie będą podlegać profilowaniu. </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Calibri" w:cs="Calibri" w:cstheme="minorHAnsi"/>
          <w:bCs/>
          <w:sz w:val="20"/>
          <w:szCs w:val="20"/>
        </w:rPr>
        <w:t>Pani/Pana dane nie trafią poza Europejski Obszar Gospodarczy (obejmujący Unię Europejską, Norwegię, Lichtenstein i Islandię).</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Podanie danych jest uregulowane w obowiązujących przepisach prawa.</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 xml:space="preserve">Podanie danych osobowych jest dobrowolne, lecz niezbędne do udziału w konsultacjach społecznych. W przypadku niepodania danych osobowych </w:t>
      </w:r>
      <w:r>
        <w:rPr>
          <w:rFonts w:eastAsia="SimSun" w:cs="Calibri" w:cstheme="minorHAnsi"/>
          <w:b/>
          <w:bCs/>
          <w:sz w:val="20"/>
          <w:szCs w:val="20"/>
          <w:shd w:fill="auto" w:val="clear"/>
        </w:rPr>
        <w:t>Burmistrz Miasta Bychawa</w:t>
      </w:r>
      <w:r>
        <w:rPr>
          <w:rFonts w:eastAsia="SimSun" w:cs="Calibri" w:cstheme="minorHAnsi"/>
          <w:bCs/>
          <w:sz w:val="20"/>
          <w:szCs w:val="20"/>
        </w:rPr>
        <w:t xml:space="preserve"> nie będzie mógł uwzględnić uwagi zgłoszonej w ramach konsultacji.</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Państwa dane osobowe mogą być przekazywane:</w:t>
      </w:r>
    </w:p>
    <w:p>
      <w:pPr>
        <w:pStyle w:val="Normal"/>
        <w:numPr>
          <w:ilvl w:val="0"/>
          <w:numId w:val="3"/>
        </w:numPr>
        <w:suppressAutoHyphens w:val="true"/>
        <w:spacing w:before="0" w:after="0"/>
        <w:ind w:hanging="283" w:left="567"/>
        <w:jc w:val="both"/>
        <w:rPr>
          <w:rFonts w:eastAsia="SimSun" w:cs="Calibri" w:cstheme="minorHAnsi"/>
          <w:bCs/>
          <w:sz w:val="20"/>
          <w:szCs w:val="20"/>
          <w:highlight w:val="none"/>
          <w:shd w:fill="FFFFFF" w:val="clear"/>
        </w:rPr>
      </w:pPr>
      <w:r>
        <w:rPr>
          <w:rFonts w:eastAsia="SimSun" w:cs="Calibri" w:cstheme="minorHAnsi"/>
          <w:bCs/>
          <w:sz w:val="20"/>
          <w:szCs w:val="20"/>
          <w:shd w:fill="FFFFFF" w:val="clear"/>
        </w:rPr>
        <w:t>organom władzy publicznej oraz podmiotom wykonującym zadania publiczne lub działających na zlecenie organów władzy publicznej, w zakresie i w celach, które wynikają z przepisów powszechnie obowiązującego prawa;</w:t>
      </w:r>
    </w:p>
    <w:p>
      <w:pPr>
        <w:pStyle w:val="Normal"/>
        <w:numPr>
          <w:ilvl w:val="0"/>
          <w:numId w:val="3"/>
        </w:numPr>
        <w:suppressAutoHyphens w:val="true"/>
        <w:spacing w:before="0" w:after="0"/>
        <w:ind w:hanging="283" w:left="567"/>
        <w:jc w:val="both"/>
        <w:rPr/>
      </w:pPr>
      <w:r>
        <w:rPr>
          <w:rFonts w:eastAsia="SimSun" w:cs="Calibri" w:cstheme="minorHAnsi"/>
          <w:bCs/>
          <w:sz w:val="20"/>
          <w:szCs w:val="20"/>
          <w:shd w:fill="FFFFFF" w:val="clear"/>
        </w:rPr>
        <w:t xml:space="preserve">innym podmiotom, które na podstawie stosownych umów podpisanych </w:t>
      </w:r>
      <w:r>
        <w:rPr>
          <w:rFonts w:eastAsia="SimSun" w:cs="Calibri" w:cstheme="minorHAnsi"/>
          <w:b/>
          <w:bCs/>
          <w:sz w:val="20"/>
          <w:szCs w:val="20"/>
          <w:shd w:fill="FFFFFF" w:val="clear"/>
        </w:rPr>
        <w:t>z Gminą Bychawa przetwarzają dane osobow</w:t>
      </w:r>
      <w:r>
        <w:rPr>
          <w:rFonts w:eastAsia="SimSun" w:cs="Calibri" w:cstheme="minorHAnsi"/>
          <w:b/>
          <w:bCs/>
          <w:sz w:val="20"/>
          <w:szCs w:val="20"/>
          <w:shd w:fill="auto" w:val="clear"/>
        </w:rPr>
        <w:t xml:space="preserve">e, dla których Administratorem jest Burmistrz Bychawy. </w:t>
      </w:r>
    </w:p>
    <w:p>
      <w:pPr>
        <w:pStyle w:val="ListParagraph"/>
        <w:numPr>
          <w:ilvl w:val="0"/>
          <w:numId w:val="2"/>
        </w:numPr>
        <w:tabs>
          <w:tab w:val="clear" w:pos="708"/>
          <w:tab w:val="left" w:pos="284" w:leader="none"/>
        </w:tabs>
        <w:spacing w:before="0" w:after="0"/>
        <w:ind w:hanging="284" w:left="284" w:right="-1"/>
        <w:contextualSpacing/>
        <w:jc w:val="both"/>
        <w:rPr>
          <w:rFonts w:cs="Calibri" w:cstheme="minorHAnsi"/>
          <w:iCs/>
          <w:sz w:val="20"/>
          <w:szCs w:val="20"/>
        </w:rPr>
      </w:pPr>
      <w:r>
        <w:rPr>
          <w:rFonts w:cs="Calibri" w:cstheme="min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pPr>
        <w:pStyle w:val="Normal"/>
        <w:spacing w:lineRule="auto" w:line="240" w:before="0" w:after="0"/>
        <w:ind w:right="-1"/>
        <w:jc w:val="both"/>
        <w:rPr>
          <w:rFonts w:cs="Calibri" w:cstheme="minorHAnsi"/>
          <w:iCs/>
          <w:sz w:val="20"/>
          <w:szCs w:val="20"/>
        </w:rPr>
      </w:pPr>
      <w:r>
        <w:rPr>
          <w:rFonts w:cs="Calibri" w:cstheme="minorHAnsi"/>
          <w:iCs/>
          <w:sz w:val="20"/>
          <w:szCs w:val="20"/>
        </w:rPr>
      </w:r>
    </w:p>
    <w:sectPr>
      <w:type w:val="nextPage"/>
      <w:pgSz w:w="11906" w:h="16838"/>
      <w:pgMar w:left="1417" w:right="1417"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Calibri" w:hAnsi="Calibri" w:cs="Calibri" w:hint="default"/>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31ed4"/>
    <w:rPr>
      <w:color w:themeColor="hyperlink" w:val="0563C1"/>
      <w:u w:val="single"/>
    </w:rPr>
  </w:style>
  <w:style w:type="character" w:styleId="UnresolvedMention">
    <w:name w:val="Unresolved Mention"/>
    <w:basedOn w:val="DefaultParagraphFont"/>
    <w:uiPriority w:val="99"/>
    <w:semiHidden/>
    <w:unhideWhenUsed/>
    <w:qFormat/>
    <w:rsid w:val="00431ed4"/>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431ed4"/>
    <w:pPr>
      <w:spacing w:before="0" w:after="160"/>
      <w:ind w:left="720"/>
      <w:contextualSpacing/>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431e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LibreOffice/25.2.4.3$Windows_X86_64 LibreOffice_project/33e196637044ead23f5c3226cde09b47731f7e27</Application>
  <AppVersion>15.0000</AppVersion>
  <Pages>2</Pages>
  <Words>501</Words>
  <Characters>3253</Characters>
  <CharactersWithSpaces>3712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2024-03-25T18:27:00Z</dcterms:created>
  <dc:creator>Marek Kowalski</dc:creator>
  <dc:description/>
  <dc:language>pl-PL</dc:language>
  <cp:lastModifiedBy/>
  <dcterms:modified xsi:type="dcterms:W3CDTF">2025-07-04T10:17:30Z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