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bookmarkStart w:id="0" w:name="_Hlk103682342"/>
      <w:r>
        <w:rPr>
          <w:rFonts w:cs="Calibri" w:cstheme="minorHAnsi"/>
          <w:b/>
          <w:bCs/>
        </w:rPr>
        <w:t xml:space="preserve">Konsultacje społeczne </w:t>
      </w:r>
    </w:p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bookmarkStart w:id="1" w:name="_Hlk103682342"/>
      <w:r>
        <w:rPr>
          <w:rFonts w:cs="Calibri" w:cstheme="minorHAnsi"/>
          <w:b/>
          <w:bCs/>
        </w:rPr>
        <w:t xml:space="preserve">projektu </w:t>
      </w:r>
      <w:bookmarkEnd w:id="1"/>
      <w:r>
        <w:rPr>
          <w:rFonts w:cs="Calibri" w:cstheme="minorHAnsi"/>
          <w:b/>
          <w:bCs/>
        </w:rPr>
        <w:t>Strategii terytorialnej Otuliny Roztocza na lata 2025 – 2030</w:t>
      </w:r>
    </w:p>
    <w:p>
      <w:pPr>
        <w:pStyle w:val="Normal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wraz z Prognozą oddziaływania na środowisko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Burmistrz Bychawy, jako lider Porozumienia międzygminnego określającego zasady współpracy w ramach Innych Instrumentów Terytorialnych na obszarze Otuliny Roztocza, podpisanego dn. 13 maja 2025 r., działając w oparciu o art. 36 ustawy o zasadach realizacji zadań finansowanych ze środków europejskich w perspektywie finansowej 2021–2027 (Dz. U. z 2022 r. poz. 1079 z późn. zm.) oraz art. 39, art. 40 i art. 41 ustawy o udostępnianiu informacji o środowisku i jego ochronie, udziale społeczeństwa w ochronie środowiska oraz o ocenach oddziaływania na środowisko (Dz.U. 2024 poz. 1112 tj.), informuje o rozpoczęciu konsultacji społecznych projektu Strategii terytorialnej Otuliny Roztocza na lata 2025 – 2030 wraz z Prognozą oddziaływania na środowisko.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Niniejsza Strategia pełni funkcję strategii Innych Instrumentów Terytorialnych (IIT) zgodnie z art. 36 ustawy o zasadach realizacji zadań finansowanych ze środków europejskich w perspektywie finansowej 2021–2027 (Dz. U. z 2022 r. poz. 1079 z późn. zm.).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Strategia obejmuje obszar następujących jednostek samorządu terytorialnego: Gmina Bychawa, Gmina Chrzanów, Gmina Goraj, Gmina Jabłonna, Gmina Szastarka, Gmina Turobin, Gmina Wysokie oraz Gmina Zakrzówek.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Konsultacje prowadzone są w celu przedstawienia projektu Strategii wraz z Prognozą oddziaływania na środowisko interesariuszom (mieszkańcom, gminom i ich związkom oraz partnerom społecznym i gospodarczym) oraz umożliwienia złożenia uwag dotyczących Strategii i Prognozy.</w:t>
      </w:r>
    </w:p>
    <w:p>
      <w:pPr>
        <w:pStyle w:val="Normal"/>
        <w:rPr>
          <w:rFonts w:cs="Calibri" w:cstheme="minorHAnsi"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>Informacje o konsultacjach: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Konsultacje społeczne przeprowadzone będą od dnia 4 lipca 2025 r. do dnia 25 lipca 2025 r. 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Wszyscy zainteresowani, w terminie określonym powyżej mogą zapoznać się z dokumentacją sprawy, tj.</w:t>
      </w:r>
      <w:r>
        <w:rPr>
          <w:rFonts w:cs="Calibri" w:cstheme="minorHAnsi"/>
          <w:i/>
          <w:iCs/>
        </w:rPr>
        <w:t xml:space="preserve"> </w:t>
      </w:r>
      <w:r>
        <w:rPr>
          <w:rFonts w:cs="Calibri" w:cstheme="minorHAnsi"/>
        </w:rPr>
        <w:t>projektem Strategii terytorialnej Otuliny Roztocza na lata 2025 – 2030 oraz Prognozą oddziaływania na środowisko do projektu Strategii</w:t>
      </w:r>
      <w:r>
        <w:rPr>
          <w:rFonts w:cs="Calibri" w:cstheme="minorHAnsi"/>
          <w:i/>
          <w:iCs/>
        </w:rPr>
        <w:t>.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Dokumentacja sprawy dostępna jest na niniejszej stronie internetowej oraz jest wyłożona do wglądu w siedzibie Urzędu Miejskiego w Bychawie, ul. Partyzantów 1, 23-100 Bychawa, pok. </w:t>
      </w:r>
      <w:r>
        <w:rPr>
          <w:rFonts w:cs="Calibri" w:cstheme="minorHAnsi"/>
          <w:b/>
          <w:bCs/>
        </w:rPr>
        <w:t>nr</w:t>
      </w:r>
      <w:r>
        <w:rPr>
          <w:rFonts w:cs="Calibri" w:cstheme="minorHAnsi"/>
        </w:rPr>
        <w:t xml:space="preserve"> </w:t>
      </w:r>
      <w:r>
        <w:rPr>
          <w:rFonts w:cs="Calibri" w:cstheme="minorHAnsi"/>
          <w:b/>
          <w:bCs/>
        </w:rPr>
        <w:t>12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>Każdy ma prawo składania uwag i wniosków w terminie określonym powyżej.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 xml:space="preserve">Uwagi i wnioski należy składać </w:t>
      </w:r>
      <w:r>
        <w:rPr>
          <w:rFonts w:cs="Calibri" w:cstheme="minorHAnsi"/>
          <w:b/>
          <w:bCs/>
        </w:rPr>
        <w:t>wyłącznie na formularzach konsultacyjnych</w:t>
      </w:r>
      <w:r>
        <w:rPr>
          <w:rFonts w:cs="Calibri" w:cstheme="minorHAnsi"/>
        </w:rPr>
        <w:t xml:space="preserve"> umieszczonych na niniejszej stronie internetowej:</w:t>
      </w:r>
    </w:p>
    <w:p>
      <w:pPr>
        <w:pStyle w:val="ListParagraph"/>
        <w:numPr>
          <w:ilvl w:val="0"/>
          <w:numId w:val="1"/>
        </w:numPr>
        <w:spacing w:before="0" w:after="80"/>
        <w:ind w:hanging="284" w:left="568"/>
        <w:contextualSpacing w:val="false"/>
        <w:jc w:val="both"/>
        <w:rPr>
          <w:rFonts w:cs="Calibri" w:cstheme="minorHAnsi"/>
          <w:i/>
          <w:i/>
          <w:iCs/>
        </w:rPr>
      </w:pPr>
      <w:r>
        <w:rPr>
          <w:rFonts w:cs="Calibri" w:cstheme="minorHAnsi"/>
        </w:rPr>
        <w:t xml:space="preserve">drogą elektroniczną, przesyłając formularz na adres: </w:t>
      </w:r>
      <w:r>
        <w:rPr>
          <w:rFonts w:cs="Calibri" w:cstheme="minorHAnsi"/>
          <w:b/>
          <w:bCs/>
        </w:rPr>
        <w:t xml:space="preserve">a.liwak@bychawa.pl </w:t>
      </w:r>
      <w:r>
        <w:rPr>
          <w:rFonts w:cs="Calibri" w:cstheme="minorHAnsi"/>
        </w:rPr>
        <w:t xml:space="preserve">W tytule maila należy wpisać: </w:t>
      </w:r>
      <w:bookmarkStart w:id="2" w:name="_Hlk113617719"/>
      <w:r>
        <w:rPr>
          <w:rFonts w:cs="Calibri" w:cstheme="minorHAnsi"/>
        </w:rPr>
        <w:t>„</w:t>
      </w:r>
      <w:r>
        <w:rPr>
          <w:rFonts w:cs="Calibri" w:cstheme="minorHAnsi"/>
          <w:i/>
          <w:iCs/>
        </w:rPr>
        <w:t xml:space="preserve">Konsultacje społeczne projektu Strategii Otuliny Roztocza wraz z Prognozą </w:t>
      </w:r>
      <w:bookmarkEnd w:id="2"/>
      <w:r>
        <w:rPr>
          <w:rFonts w:cs="Calibri" w:cstheme="minorHAnsi"/>
          <w:i/>
          <w:iCs/>
        </w:rPr>
        <w:t>OŚ”.</w:t>
      </w:r>
    </w:p>
    <w:p>
      <w:pPr>
        <w:pStyle w:val="ListParagraph"/>
        <w:numPr>
          <w:ilvl w:val="0"/>
          <w:numId w:val="1"/>
        </w:numPr>
        <w:spacing w:before="0" w:after="80"/>
        <w:ind w:hanging="357" w:left="567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pisemnie, przesyłając formularz na adres pocztowy: Urząd Miejski w Bychawie, ul. Partyzantów 1, 23-100 Bychawa – z dopiskiem „</w:t>
      </w:r>
      <w:r>
        <w:rPr>
          <w:rFonts w:cs="Calibri" w:cstheme="minorHAnsi"/>
          <w:i/>
          <w:iCs/>
        </w:rPr>
        <w:t>Konsultacje społeczne projektu Strategii Otuliny Roztocza wraz z Prognozą OŚ</w:t>
      </w:r>
      <w:r>
        <w:rPr>
          <w:rFonts w:cs="Calibri" w:cstheme="minorHAnsi"/>
        </w:rPr>
        <w:t>”.</w:t>
      </w:r>
    </w:p>
    <w:p>
      <w:pPr>
        <w:pStyle w:val="ListParagraph"/>
        <w:numPr>
          <w:ilvl w:val="0"/>
          <w:numId w:val="1"/>
        </w:numPr>
        <w:spacing w:before="0" w:after="80"/>
        <w:ind w:hanging="360" w:left="567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ustnie do protokołu w siedzibie Urzędu Miejskiego w Bychawie, ul. Partyzantów 1, Bychawa pok. </w:t>
      </w:r>
      <w:r>
        <w:rPr>
          <w:rFonts w:cs="Calibri" w:cstheme="minorHAnsi"/>
          <w:b/>
          <w:bCs/>
        </w:rPr>
        <w:t>nr 12</w:t>
      </w:r>
      <w:r>
        <w:rPr>
          <w:rFonts w:cs="Calibri" w:cstheme="minorHAnsi"/>
        </w:rPr>
        <w:t xml:space="preserve">, nr tel. </w:t>
      </w:r>
      <w:r>
        <w:rPr>
          <w:rFonts w:cs="Calibri" w:cstheme="minorHAnsi"/>
          <w:b/>
          <w:bCs/>
        </w:rPr>
        <w:t>81 566 00 04 wew.32</w:t>
      </w:r>
      <w:r>
        <w:rPr>
          <w:rFonts w:cs="Calibri" w:cstheme="minorHAnsi"/>
        </w:rPr>
        <w:t xml:space="preserve">  (po uprzednim telefonicznym uzgodnieniu terminu).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Uwagi i wnioski zgłoszone po dniu </w:t>
      </w:r>
      <w:r>
        <w:rPr>
          <w:rFonts w:cs="Calibri" w:cstheme="minorHAnsi"/>
          <w:b/>
          <w:bCs/>
        </w:rPr>
        <w:t>25 lipca 2025 r.</w:t>
      </w:r>
      <w:r>
        <w:rPr>
          <w:rFonts w:cs="Calibri" w:cstheme="minorHAnsi"/>
        </w:rPr>
        <w:t xml:space="preserve">  zostaną pozostawione bez rozpatrzenia. W przypadku uwag składanych pocztą tradycyjną decyduje data stempla pocztowego.</w:t>
      </w:r>
    </w:p>
    <w:p>
      <w:pPr>
        <w:pStyle w:val="ListParagraph"/>
        <w:numPr>
          <w:ilvl w:val="0"/>
          <w:numId w:val="3"/>
        </w:numPr>
        <w:spacing w:before="0" w:after="80"/>
        <w:ind w:hanging="284" w:left="284"/>
        <w:contextualSpacing w:val="false"/>
        <w:jc w:val="both"/>
        <w:rPr>
          <w:rFonts w:cs="Calibri" w:cstheme="minorHAnsi"/>
        </w:rPr>
      </w:pPr>
      <w:r>
        <w:rPr>
          <w:rFonts w:cs="Calibri" w:cstheme="minorHAnsi"/>
        </w:rPr>
        <w:t>Organem właściwym do rozpatrzenia uwag jest Burmistrz Bychawy, jako lider Porozumienia międzygminnego określającego zasady współpracy w ramach Innych Instrumentów Terytorialnych na obszarze Otuliny Roztocza, podpisanego dn. 13 maja 2025 r.</w:t>
      </w:r>
    </w:p>
    <w:p>
      <w:pPr>
        <w:pStyle w:val="Normal"/>
        <w:spacing w:before="0" w:after="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before="0" w:after="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spacing w:before="0" w:after="0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Dokumenty </w:t>
      </w:r>
    </w:p>
    <w:p>
      <w:pPr>
        <w:pStyle w:val="ListParagraph"/>
        <w:numPr>
          <w:ilvl w:val="0"/>
          <w:numId w:val="2"/>
        </w:numPr>
        <w:ind w:hanging="284" w:left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Projekt Strategii terytorialnej Otuliny Roztocza na lata 2025 – 2030 </w:t>
      </w:r>
    </w:p>
    <w:p>
      <w:pPr>
        <w:pStyle w:val="ListParagraph"/>
        <w:numPr>
          <w:ilvl w:val="0"/>
          <w:numId w:val="2"/>
        </w:numPr>
        <w:ind w:hanging="284" w:left="284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Formularz konsultacyjny do Projektu Strategii terytorialnej Otuliny Roztocza na lata 2025 – 2030 </w:t>
      </w:r>
    </w:p>
    <w:p>
      <w:pPr>
        <w:pStyle w:val="ListParagraph"/>
        <w:numPr>
          <w:ilvl w:val="0"/>
          <w:numId w:val="2"/>
        </w:numPr>
        <w:ind w:hanging="284" w:left="284"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 xml:space="preserve">Prognoza oddziaływania na środowisko projektu Strategii terytorialnej Otuliny Roztocza na lata 2025 – 2030 </w:t>
      </w:r>
    </w:p>
    <w:p>
      <w:pPr>
        <w:pStyle w:val="ListParagraph"/>
        <w:numPr>
          <w:ilvl w:val="0"/>
          <w:numId w:val="2"/>
        </w:numPr>
        <w:spacing w:before="0" w:after="160"/>
        <w:ind w:hanging="284" w:left="284"/>
        <w:contextualSpacing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 xml:space="preserve">Formularz konsultacyjny do Prognozy oddziaływania na środowisko </w:t>
      </w:r>
    </w:p>
    <w:sectPr>
      <w:type w:val="nextPage"/>
      <w:pgSz w:w="11906" w:h="16838"/>
      <w:pgMar w:left="1417" w:right="1417" w:gutter="0" w:header="0" w:top="993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c587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c5872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9a2e7f"/>
    <w:rPr>
      <w:color w:themeColor="followedHyperlink" w:val="954F72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5342"/>
    <w:pPr>
      <w:spacing w:before="0" w:after="16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LibreOffice/25.2.4.3$Windows_X86_64 LibreOffice_project/33e196637044ead23f5c3226cde09b47731f7e27</Application>
  <AppVersion>15.0000</AppVersion>
  <Pages>2</Pages>
  <Words>506</Words>
  <Characters>3198</Characters>
  <CharactersWithSpaces>3681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2025-07-04T07:57:00Z</dcterms:created>
  <dc:creator>Marek Kowalski</dc:creator>
  <dc:description/>
  <dc:language>pl-PL</dc:language>
  <cp:lastModifiedBy/>
  <cp:lastPrinted>2025-07-04T10:34:08Z</cp:lastPrinted>
  <dcterms:modified xsi:type="dcterms:W3CDTF">2025-07-04T10:42:18Z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