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hadow w:val="false"/>
          <w:color w:val="FF0000"/>
          <w:spacing w:val="0"/>
          <w:sz w:val="24"/>
          <w:szCs w:val="24"/>
          <w:shd w:fill="FFFFFF" w:val="clear"/>
          <w:lang w:val="pl-PL" w:eastAsia="en-US" w:bidi="zxx"/>
        </w:rPr>
        <w:tab/>
        <w:tab/>
        <w:tab/>
        <w:tab/>
      </w:r>
      <w:r>
        <w:rPr>
          <w:rFonts w:eastAsia="Liberation Serif" w:cs="Times New Roman" w:ascii="Times New Roman" w:hAnsi="Times New Roman"/>
          <w:shadow/>
          <w:color w:val="800000"/>
          <w:spacing w:val="0"/>
          <w:sz w:val="24"/>
          <w:szCs w:val="24"/>
          <w:shd w:fill="FFFFFF" w:val="clear"/>
        </w:rPr>
        <w:tab/>
        <w:tab/>
        <w:tab/>
        <w:t xml:space="preserve">                           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Jedlina-Zdrój, dnia 27.03.2019</w:t>
      </w:r>
    </w:p>
    <w:p>
      <w:pPr>
        <w:pStyle w:val="Normal"/>
        <w:suppressAutoHyphens w:val="true"/>
        <w:spacing w:lineRule="exact" w:line="288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GPM.6840.28.2018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6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B U R M I S T R Z   M I A S T A   J E D L I N A-Z D R Ó J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ogłasza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/>
          <w:color w:val="00000A"/>
          <w:spacing w:val="0"/>
          <w:highlight w:val="white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I przetar</w:t>
      </w: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g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ustny nieograniczony na sprzedaż </w:t>
      </w: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lokalu mieszkalnego nr 3 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o powierzchni użytkowej     </w:t>
      </w: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18,26 m</w:t>
      </w: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  <w:vertAlign w:val="superscript"/>
        </w:rPr>
        <w:t xml:space="preserve">2 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na drugim piętrze (poddaszu) plus WC na korytarzu o powierzchni 2,15 m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  <w:vertAlign w:val="superscript"/>
        </w:rPr>
        <w:t>2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i piwnica               o powierzchni 3,10 m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  <w:vertAlign w:val="superscript"/>
        </w:rPr>
        <w:t>2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, położonego w budynku </w:t>
      </w: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przy ulicy Brzozowej nr 4 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w Jedlinie-Zdroju wraz        z udziałem wynoszącym 1478/10000 części w częściach wspólnych budynku i urządzeniach oraz         w prawie własności gruntu o powierzchni 0,1102 ha, oznaczonego numerem ewidencyjnym 363. Nieruchomość opisana jest w księdze wieczystej nr SW1W/00031907/3 prowadzonej przez Sąd Rejonowy w Wałbrzychu.</w:t>
      </w:r>
    </w:p>
    <w:p>
      <w:pPr>
        <w:pStyle w:val="Normal"/>
        <w:numPr>
          <w:ilvl w:val="0"/>
          <w:numId w:val="1"/>
        </w:numPr>
        <w:suppressAutoHyphens w:val="true"/>
        <w:spacing w:lineRule="exact" w:line="240" w:before="0" w:after="0"/>
        <w:ind w:left="432" w:right="0" w:hanging="432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Opis nieruchomości: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>Lokal mieszkalny składa się z pokoju i kuchni. Lokal korzysta z WC na korytarzu. Lokal stanowi pustostan, nie jest ogrzewany, instalacje odłączone. Okna - stolarka PCV. Ogrzewanie indywidualne – elektryczne i piecowe (kuchnia kaflowa i piec kaflowy). Elementy stanu wykończeniowego wymagają wymiany i kapitalnego remontu. Pomieszczenia są słabo doświetlone, w lokalu występują skosy. Do lokalu przynależy WC na korytarzu o powierzchni 2,15 m</w:t>
      </w: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  <w:vertAlign w:val="superscript"/>
        </w:rPr>
        <w:t>2</w:t>
      </w: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 i piwnica o powierzchni 3,10 m</w:t>
      </w: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  <w:vertAlign w:val="superscript"/>
        </w:rPr>
        <w:t>2</w:t>
      </w: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.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Położony na działce budynek mieszkalny wybudowany został przed 1945 r. w technologii tradycyjnej. Jest to obiekt wolnostojący, posiada trzy kondygnacje nadziemne i jest podpiwniczony. W budynku znajdują się            3 lokale mieszkalne. Spokojna okolica, najbliższą zabudowę stanowią budynki wielorodzinne niskie, tereny zielone i szkoła. Teren o spadku w kierunku północnym, nasłoneczniony. Nieruchomość uzbrojona w sieć: energii elektrycznej, wodociągową i kanalizacyjną. Lokal nie posiada świadectwa charakterystyki energetycznej, o którym mowa w art. 11 ustawy z dnia 29 sierpnia 2014 r. o charakterystyce energetycznej budynków (Dz. U.     z 2017 r. poz. 1498). </w:t>
      </w:r>
    </w:p>
    <w:p>
      <w:pPr>
        <w:pStyle w:val="Normal"/>
        <w:numPr>
          <w:ilvl w:val="0"/>
          <w:numId w:val="2"/>
        </w:numPr>
        <w:suppressAutoHyphens w:val="true"/>
        <w:spacing w:lineRule="exact" w:line="240" w:before="0" w:after="0"/>
        <w:ind w:left="432" w:right="0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Cena wywoławcza nieruchomości: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 w:ascii="Times New Roman" w:hAnsi="Times New Roman"/>
          <w:b/>
          <w:color w:val="00000A"/>
          <w:spacing w:val="0"/>
          <w:sz w:val="30"/>
          <w:szCs w:val="30"/>
          <w:shd w:fill="FFFFFF" w:val="clear"/>
        </w:rPr>
        <w:t xml:space="preserve">15 000 zł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w tym: cena lokalu 56% ceny oraz cena udziału w gruncie 44% ceny.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Sprzedaż części budynku (lokalu) jest zwolniona z podatku VAT na podstawie art. 43 ust. 1 pkt 10 ustawy z dnia  11 marca  2004 r. o podatku od towarów i usług (Dz. U. z 2017 r., poz. 1221 ze zm.)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00000A"/>
          <w:spacing w:val="0"/>
          <w:sz w:val="26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Cena nieruchomości uzyskana w przetargu podlega zapłacie nie później niż do dnia zawarcia umowy przenoszącej własność. </w:t>
      </w:r>
    </w:p>
    <w:p>
      <w:pPr>
        <w:pStyle w:val="Normal"/>
        <w:numPr>
          <w:ilvl w:val="0"/>
          <w:numId w:val="3"/>
        </w:numPr>
        <w:suppressAutoHyphens w:val="true"/>
        <w:spacing w:lineRule="exact" w:line="240" w:before="0" w:after="0"/>
        <w:ind w:left="432" w:right="0" w:hanging="432"/>
        <w:jc w:val="both"/>
        <w:rPr>
          <w:rFonts w:ascii="Calibri" w:hAnsi="Calibri" w:eastAsia="Calibri" w:cs="Calibri"/>
          <w:b/>
          <w:b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Obciążenia nieruchomości: </w:t>
      </w:r>
    </w:p>
    <w:p>
      <w:pPr>
        <w:pStyle w:val="Normal"/>
        <w:suppressAutoHyphens w:val="true"/>
        <w:spacing w:lineRule="exact" w:line="240" w:before="0" w:after="0"/>
        <w:ind w:left="113" w:right="0" w:hanging="113"/>
        <w:jc w:val="both"/>
        <w:rPr>
          <w:rFonts w:ascii="Calibri" w:hAnsi="Calibri" w:eastAsia="Calibri" w:cs="Calibri"/>
          <w:color w:val="00000A"/>
          <w:spacing w:val="0"/>
          <w:sz w:val="26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Nieruchomość nie jest obciążona.</w:t>
      </w:r>
    </w:p>
    <w:p>
      <w:pPr>
        <w:pStyle w:val="Normal"/>
        <w:numPr>
          <w:ilvl w:val="0"/>
          <w:numId w:val="4"/>
        </w:numPr>
        <w:suppressAutoHyphens w:val="true"/>
        <w:spacing w:lineRule="exact" w:line="240" w:before="0" w:after="0"/>
        <w:ind w:left="432" w:right="0" w:hanging="432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Zobowiązania, których przedmiotem jest nieruchomość: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00000A"/>
          <w:spacing w:val="0"/>
          <w:sz w:val="26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Nieruchomość nie jest przedmiotem zobowiązań.</w:t>
      </w:r>
    </w:p>
    <w:p>
      <w:pPr>
        <w:pStyle w:val="Normal"/>
        <w:numPr>
          <w:ilvl w:val="0"/>
          <w:numId w:val="5"/>
        </w:numPr>
        <w:suppressAutoHyphens w:val="true"/>
        <w:spacing w:lineRule="exact" w:line="240" w:before="0" w:after="0"/>
        <w:ind w:left="432" w:right="0" w:hanging="432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Przeznaczenie nieruchomości i sposób jej zagospodarowania: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1. W miejscowym planie zagospodarowania przestrzennego miasta Jedlina-Zdrój, zatwierdzonym uchwałą Rady Miasta Jedlina-Zdrój Nr XLIV/265/18 z dnia 27 września 2018 r. nieruchomość  oznaczona jest symbolem 4.10MN/MW z zapisem teren zabudowy mieszkaniowej jedno i wielorodzinnej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6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2. w ewidencji gruntów nieruchomość oznaczona jest użytkiem B –  tereny mieszkaniowe.</w:t>
      </w:r>
    </w:p>
    <w:p>
      <w:pPr>
        <w:pStyle w:val="Normal"/>
        <w:numPr>
          <w:ilvl w:val="0"/>
          <w:numId w:val="6"/>
        </w:numPr>
        <w:suppressAutoHyphens w:val="true"/>
        <w:spacing w:lineRule="exact" w:line="240" w:before="0" w:after="0"/>
        <w:ind w:left="432" w:right="0" w:hanging="432"/>
        <w:jc w:val="both"/>
        <w:rPr>
          <w:rFonts w:ascii="Calibri" w:hAnsi="Calibri" w:eastAsia="Calibri" w:cs="Calibri"/>
          <w:color w:val="00000A"/>
          <w:spacing w:val="0"/>
          <w:sz w:val="26"/>
          <w:highlight w:val="white"/>
        </w:rPr>
      </w:pP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Termin i miejsce przetargu:</w:t>
      </w:r>
    </w:p>
    <w:p>
      <w:pPr>
        <w:pStyle w:val="Normal"/>
        <w:suppressAutoHyphens w:val="true"/>
        <w:spacing w:lineRule="exact" w:line="240" w:before="0" w:after="0"/>
        <w:ind w:left="11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Przetarg odbędzie się w dniu </w:t>
      </w:r>
    </w:p>
    <w:p>
      <w:pPr>
        <w:pStyle w:val="Normal"/>
        <w:suppressAutoHyphens w:val="true"/>
        <w:spacing w:lineRule="exact" w:line="240" w:before="0" w:after="0"/>
        <w:ind w:left="11" w:right="0" w:hanging="0"/>
        <w:jc w:val="center"/>
        <w:rPr>
          <w:rFonts w:eastAsia="Calibri" w:cs="Calibri"/>
          <w:color w:val="00000A"/>
          <w:spacing w:val="0"/>
          <w:highlight w:val="white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uppressAutoHyphens w:val="true"/>
        <w:spacing w:lineRule="exact" w:line="240" w:before="0" w:after="0"/>
        <w:ind w:left="11" w:right="0" w:hanging="0"/>
        <w:jc w:val="center"/>
        <w:rPr>
          <w:rFonts w:ascii="Times New Roman" w:hAnsi="Times New Roman"/>
          <w:sz w:val="30"/>
          <w:szCs w:val="30"/>
        </w:rPr>
      </w:pPr>
      <w:r>
        <w:rPr>
          <w:rFonts w:eastAsia="Calibri" w:cs="Calibri" w:ascii="Times New Roman" w:hAnsi="Times New Roman"/>
          <w:b/>
          <w:color w:val="00000A"/>
          <w:spacing w:val="0"/>
          <w:sz w:val="30"/>
          <w:szCs w:val="30"/>
          <w:shd w:fill="FFFFFF" w:val="clear"/>
        </w:rPr>
        <w:t>6 maja 2019 r. o godzinie 11</w:t>
      </w:r>
      <w:r>
        <w:rPr>
          <w:rFonts w:eastAsia="Calibri" w:cs="Calibri" w:ascii="Times New Roman" w:hAnsi="Times New Roman"/>
          <w:b/>
          <w:color w:val="00000A"/>
          <w:spacing w:val="0"/>
          <w:sz w:val="30"/>
          <w:szCs w:val="30"/>
          <w:shd w:fill="FFFFFF" w:val="clear"/>
          <w:vertAlign w:val="superscript"/>
        </w:rPr>
        <w:t>00</w:t>
      </w:r>
      <w:r>
        <w:rPr>
          <w:rFonts w:eastAsia="Calibri" w:cs="Calibri" w:ascii="Times New Roman" w:hAnsi="Times New Roman"/>
          <w:color w:val="00000A"/>
          <w:spacing w:val="0"/>
          <w:sz w:val="30"/>
          <w:szCs w:val="30"/>
          <w:shd w:fill="FFFFFF" w:val="clear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11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w siedzibie Urzędu Miasta Jedlina-Zdrój przy ul. Poznańskiej nr 2 </w:t>
      </w:r>
    </w:p>
    <w:p>
      <w:pPr>
        <w:pStyle w:val="Normal"/>
        <w:suppressAutoHyphens w:val="true"/>
        <w:spacing w:lineRule="exact" w:line="240" w:before="0" w:after="0"/>
        <w:ind w:left="11" w:right="0" w:hanging="0"/>
        <w:jc w:val="center"/>
        <w:rPr>
          <w:rFonts w:ascii="Times New Roman" w:hAnsi="Times New Roman" w:eastAsia="Calibri" w:cs="Calibri"/>
          <w:color w:val="00000A"/>
          <w:spacing w:val="0"/>
          <w:sz w:val="12"/>
          <w:szCs w:val="1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12"/>
          <w:szCs w:val="12"/>
          <w:highlight w:val="white"/>
        </w:rPr>
      </w:r>
    </w:p>
    <w:p>
      <w:pPr>
        <w:pStyle w:val="Normal"/>
        <w:numPr>
          <w:ilvl w:val="0"/>
          <w:numId w:val="7"/>
        </w:numPr>
        <w:suppressAutoHyphens w:val="true"/>
        <w:spacing w:lineRule="exact" w:line="240" w:before="0" w:after="0"/>
        <w:ind w:left="432" w:right="0" w:hanging="432"/>
        <w:jc w:val="both"/>
        <w:rPr>
          <w:rFonts w:ascii="Calibri" w:hAnsi="Calibri" w:eastAsia="Calibri" w:cs="Calibri"/>
          <w:color w:val="00000A"/>
          <w:spacing w:val="0"/>
          <w:sz w:val="26"/>
          <w:highlight w:val="white"/>
        </w:rPr>
      </w:pP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Wysokość wadium, forma, termin i miejsce jego wniesienia:</w:t>
      </w:r>
    </w:p>
    <w:p>
      <w:pPr>
        <w:pStyle w:val="Normal"/>
        <w:suppressAutoHyphens w:val="true"/>
        <w:spacing w:lineRule="exact" w:line="240" w:before="0" w:after="0"/>
        <w:ind w:left="11" w:right="0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Wadium należy wnieść w pieniądzu na rachunek Gminy Jedlina-Zdrój w PKO BP S.A. I Oddział                w Wałbrzychu nr 13102050950000560200114280 w wysokości </w:t>
      </w: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3 000 zł </w:t>
      </w:r>
      <w:r>
        <w:rPr>
          <w:rFonts w:eastAsia="Calibri" w:cs="Calibri" w:ascii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</w:rPr>
        <w:t>(trzy tysiące złotych 00/100), nie później niż</w:t>
      </w: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 29 kwietnia 2019 r.</w:t>
      </w:r>
      <w:r>
        <w:rPr>
          <w:rFonts w:eastAsia="Calibri" w:cs="Calibri" w:ascii="Times New Roman" w:hAnsi="Times New Roman"/>
          <w:i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z napisem na dowodzie wpłaty (przelewie):</w:t>
      </w:r>
    </w:p>
    <w:p>
      <w:pPr>
        <w:pStyle w:val="Normal"/>
        <w:suppressAutoHyphens w:val="true"/>
        <w:spacing w:lineRule="exact" w:line="240" w:before="0" w:after="0"/>
        <w:ind w:left="11" w:right="0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„</w:t>
      </w: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wadium – ul. Brzozowa 4/3”. </w:t>
      </w:r>
    </w:p>
    <w:p>
      <w:pPr>
        <w:pStyle w:val="Normal"/>
        <w:suppressAutoHyphens w:val="true"/>
        <w:spacing w:lineRule="exact" w:line="240" w:before="0" w:after="0"/>
        <w:ind w:left="11" w:right="0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Wadium wpłacone przez uczestnika przetargu, który przetarg wygrał zalicza się na poczet ceny nabycia nieruchomości. Wadium będzie zwrócone pozostałym uczestnikom przed upływem trzech dni od daty: zamknięcia, odwołania, unieważnienia przetargu lub zakończenia przetargu wynikiem negatywnym, za pośrednictwem rachunku bankowego, po złożeniu ich pisemnej dyspozycji.</w:t>
      </w:r>
    </w:p>
    <w:p>
      <w:pPr>
        <w:pStyle w:val="Normal"/>
        <w:numPr>
          <w:ilvl w:val="0"/>
          <w:numId w:val="9"/>
        </w:numPr>
        <w:suppressAutoHyphens w:val="true"/>
        <w:spacing w:lineRule="exact" w:line="240" w:before="0" w:after="0"/>
        <w:ind w:left="432" w:right="0" w:hanging="432"/>
        <w:jc w:val="both"/>
        <w:rPr>
          <w:sz w:val="26"/>
          <w:szCs w:val="26"/>
        </w:rPr>
      </w:pP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Terminy wnoszenia opłat: </w:t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</w:rPr>
        <w:t xml:space="preserve">Cena nieruchomości osiągnięta w przetargu podlega zapłacie nie później niż do dnia zawarcia umowy notarialnej. Za termin potwierdzający dokonanie wpłaty na konto uznaje się datę lokacji środków na rachunku Gminy.  </w:t>
      </w:r>
    </w:p>
    <w:p>
      <w:pPr>
        <w:pStyle w:val="Normal"/>
        <w:numPr>
          <w:ilvl w:val="0"/>
          <w:numId w:val="8"/>
        </w:numPr>
        <w:suppressAutoHyphens w:val="true"/>
        <w:spacing w:lineRule="exact" w:line="240" w:before="0" w:after="0"/>
        <w:ind w:left="432" w:right="0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Skutki uchylenia się od zawarcia umowy sprzedaży nieruchomości: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00000A"/>
          <w:spacing w:val="0"/>
          <w:sz w:val="26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Jeżeli osoba ustalona jako nabywca nieruchomości nie przystąpi bez usprawiedliwienia do zawarcia umowy notarialnej, organizator przetargu może odstąpić od zawarcia umowy, a wpłacone wadium nie </w:t>
      </w:r>
      <w:bookmarkStart w:id="0" w:name="__DdeLink__114_146178034"/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podlega zwrotowi. </w:t>
      </w:r>
    </w:p>
    <w:p>
      <w:pPr>
        <w:pStyle w:val="Normal"/>
        <w:numPr>
          <w:ilvl w:val="0"/>
          <w:numId w:val="9"/>
        </w:numPr>
        <w:suppressAutoHyphens w:val="true"/>
        <w:spacing w:lineRule="exact" w:line="240" w:before="0" w:after="0"/>
        <w:ind w:left="432" w:right="0" w:hanging="432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Zastrzeżenie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: </w:t>
      </w:r>
      <w:bookmarkEnd w:id="0"/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Termin umowy notarialnej zostanie wyznaczony w ciągu 21 dni od dnia rozstrzygnięcia przetargu. Nabywca zobowiązany jest do poniesienia kosztów związanych z nabyciem nieruchomości, tj. opłaty sądowej i notarialnej.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00000A"/>
          <w:spacing w:val="0"/>
          <w:sz w:val="26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Niniejszy przetarg może zostać odwołany, a informacja o odwołaniu przetargu będzie niezwłocznie podana do publicznej wiadomości wraz z uzasadnieniem.</w:t>
      </w:r>
    </w:p>
    <w:p>
      <w:pPr>
        <w:pStyle w:val="Normal"/>
        <w:numPr>
          <w:ilvl w:val="0"/>
          <w:numId w:val="10"/>
        </w:numPr>
        <w:suppressAutoHyphens w:val="true"/>
        <w:spacing w:lineRule="exact" w:line="240" w:before="0" w:after="0"/>
        <w:ind w:left="432" w:right="0" w:hanging="432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Informacja o miejscu wywieszenia i publikacji: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Ogłoszenie o przetargu zostanie wywieszone na tablicy ogłoszeń w siedzibie Urzędu Miasta oraz opublikowane w Biuletynie Informacji Publicznej Urzędu Miasta (</w:t>
      </w:r>
      <w:hyperlink r:id="rId2">
        <w:r>
          <w:rPr>
            <w:rStyle w:val="Czeinternetowe"/>
            <w:rFonts w:eastAsia="Calibri" w:cs="Calibri" w:ascii="Times New Roman" w:hAnsi="Times New Roman"/>
            <w:color w:val="000080"/>
            <w:spacing w:val="0"/>
            <w:sz w:val="24"/>
            <w:szCs w:val="24"/>
            <w:highlight w:val="white"/>
            <w:u w:val="single"/>
          </w:rPr>
          <w:t>www.bip.jedlinazdroj.</w:t>
        </w:r>
      </w:hyperlink>
      <w:r>
        <w:rPr>
          <w:rFonts w:eastAsia="Calibri" w:cs="Calibri" w:ascii="Times New Roman" w:hAnsi="Times New Roman"/>
          <w:color w:val="000080"/>
          <w:spacing w:val="0"/>
          <w:sz w:val="24"/>
          <w:szCs w:val="24"/>
          <w:u w:val="single"/>
          <w:shd w:fill="FFFFFF" w:val="clear"/>
        </w:rPr>
        <w:t>eu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) i na stronie Urzędu Miasta Jedlina-Zdrój (</w:t>
      </w:r>
      <w:hyperlink r:id="rId3">
        <w:r>
          <w:rPr>
            <w:rStyle w:val="Czeinternetowe"/>
            <w:rFonts w:eastAsia="Calibri" w:cs="Calibri" w:ascii="Times New Roman" w:hAnsi="Times New Roman"/>
            <w:color w:val="000080"/>
            <w:spacing w:val="0"/>
            <w:sz w:val="24"/>
            <w:szCs w:val="24"/>
            <w:highlight w:val="white"/>
            <w:u w:val="single"/>
          </w:rPr>
          <w:t>www.jedlinazdroj.eu</w:t>
        </w:r>
      </w:hyperlink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). Wyciąg z ogłoszenia zostanie wywieszony na tablicach informacyjnych rozmieszczonych na terenie gminy Jedlina-Zdrój.</w:t>
      </w:r>
    </w:p>
    <w:p>
      <w:pPr>
        <w:pStyle w:val="Normal"/>
        <w:numPr>
          <w:ilvl w:val="0"/>
          <w:numId w:val="11"/>
        </w:numPr>
        <w:suppressAutoHyphens w:val="true"/>
        <w:spacing w:lineRule="exact" w:line="240" w:before="0" w:after="0"/>
        <w:ind w:left="432" w:right="0" w:hanging="432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Informacje dodatkowe: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>1. Sprzedaży nieruchomości dokonuje się w oparciu o przepisy ustawy z dnia 21 sierpnia 1997 r. o gospodarce nieruchomościami (Dz. U. z 2018 r., poz. 2204 ze zm.).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>2. Wspólnota Mieszkaniowa posiada wydzielony fundusz remontowy. Składka miesięczna wynosi 1,00 zł za 1m</w:t>
      </w: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  <w:vertAlign w:val="superscript"/>
        </w:rPr>
        <w:t>2</w:t>
      </w: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 powierzchni.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>3. Korzystanie z wszelkich urządzeń infrastruktury komunalnej i technicznej wymaga uzgodnienia z dysponentami sieci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>
      <w:pPr>
        <w:pStyle w:val="Normal"/>
        <w:tabs>
          <w:tab w:val="left" w:pos="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>4. W przetargu mogą brać udział osoby fizyczne i prawne oraz cudzoziemcy na zasadach określonych w ustawie z dnia 24 marca 1920 r. o nabywaniu nieruchomości przez cudzoziemców (Dz. U. z 2017 r., poz. 2278 ze zm.).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5. Uczestnik przetargu  przedkłada komisji przetargowej  przed otwarciem przetargu na sprzedaż nieruchomości  dokumenty: </w:t>
      </w:r>
    </w:p>
    <w:p>
      <w:pPr>
        <w:pStyle w:val="Normal"/>
        <w:numPr>
          <w:ilvl w:val="0"/>
          <w:numId w:val="12"/>
        </w:numPr>
        <w:suppressAutoHyphens w:val="true"/>
        <w:spacing w:lineRule="exact" w:line="240" w:before="0" w:after="0"/>
        <w:ind w:left="113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>dowód tożsamości,</w:t>
      </w:r>
    </w:p>
    <w:p>
      <w:pPr>
        <w:pStyle w:val="Normal"/>
        <w:numPr>
          <w:ilvl w:val="0"/>
          <w:numId w:val="12"/>
        </w:numPr>
        <w:suppressAutoHyphens w:val="true"/>
        <w:spacing w:lineRule="exact" w:line="240" w:before="0" w:after="0"/>
        <w:ind w:left="113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>dowód wniesienia wadium,</w:t>
      </w:r>
    </w:p>
    <w:p>
      <w:pPr>
        <w:pStyle w:val="Normal"/>
        <w:numPr>
          <w:ilvl w:val="0"/>
          <w:numId w:val="12"/>
        </w:numPr>
        <w:suppressAutoHyphens w:val="true"/>
        <w:spacing w:lineRule="exact" w:line="240" w:before="0" w:after="0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>właściwe pełnomocnictwo udzielone przez osobę, którą reprezentuje – do uczestnictwa w przetargu w formie pisemnej z notarialnie poświadczonym podpisem, do nabycia nieruchomości w formie aktu notarialnego,</w:t>
      </w:r>
    </w:p>
    <w:p>
      <w:pPr>
        <w:pStyle w:val="Normal"/>
        <w:numPr>
          <w:ilvl w:val="0"/>
          <w:numId w:val="12"/>
        </w:numPr>
        <w:suppressAutoHyphens w:val="true"/>
        <w:spacing w:lineRule="exact" w:line="240" w:before="0" w:after="0"/>
        <w:ind w:left="113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>oświadczenie że uczestnik zapoznał  się z warunkami przetargu, znany mu jest stan faktyczny i prawny lokalu oraz nie wnosi w tym zakresie zastrzeżeń,</w:t>
      </w:r>
    </w:p>
    <w:p>
      <w:pPr>
        <w:pStyle w:val="Normal"/>
        <w:numPr>
          <w:ilvl w:val="0"/>
          <w:numId w:val="12"/>
        </w:numPr>
        <w:suppressAutoHyphens w:val="true"/>
        <w:spacing w:lineRule="exact" w:line="240" w:before="0" w:after="0"/>
        <w:ind w:left="113" w:right="0" w:hanging="56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osoby fizyczne prowadzące działalność gospodarczą numer NIP, a podmioty inne niż osoby fizyczne dodatkowo wyciąg z właściwego rejestru.  </w:t>
      </w:r>
    </w:p>
    <w:p>
      <w:pPr>
        <w:pStyle w:val="Normal"/>
        <w:tabs>
          <w:tab w:val="left" w:pos="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6. Przetarg będzie ważny bez względu na liczbę uczestników, jeżeli chociaż jeden uczestnik zaoferuje cenę wyższą od ceny wywoławczej o co najmniej jedno postąpienie. </w:t>
      </w:r>
    </w:p>
    <w:p>
      <w:pPr>
        <w:pStyle w:val="Normal"/>
        <w:tabs>
          <w:tab w:val="left" w:pos="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  <w:u w:val="singl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>O wysokości postąpienia decydują uczestnicy przetargu, z tym że postąpienie nie może wynosić mniej niż 1% ceny wywoławczej, z zaokrągleniem w górę do pełnych dziesiątek złotych.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u w:val="none"/>
          <w:shd w:fill="FFFFFF" w:val="clear"/>
        </w:rPr>
        <w:t xml:space="preserve">Nieruchomość można oglądać po telefonicznym uzgodnieniu terminu z pracownikiem Urzędu Miasta. </w:t>
      </w:r>
    </w:p>
    <w:p>
      <w:pPr>
        <w:pStyle w:val="Normal"/>
        <w:tabs>
          <w:tab w:val="left" w:pos="8340" w:leader="none"/>
        </w:tabs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u w:val="single"/>
          <w:shd w:fill="FFFFFF" w:val="clear"/>
        </w:rPr>
        <w:t>Szczegółowe informacje:</w:t>
      </w:r>
    </w:p>
    <w:p>
      <w:pPr>
        <w:pStyle w:val="Normal"/>
        <w:tabs>
          <w:tab w:val="left" w:pos="13944" w:leader="none"/>
        </w:tabs>
        <w:suppressAutoHyphens w:val="true"/>
        <w:spacing w:lineRule="exact" w:line="240" w:before="0" w:after="0"/>
        <w:ind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Urząd Miasta Jedlina-Zdrój, ul. Poznańska nr 2                                 </w:t>
      </w:r>
    </w:p>
    <w:p>
      <w:pPr>
        <w:pStyle w:val="Normal"/>
        <w:tabs>
          <w:tab w:val="left" w:pos="13944" w:leader="none"/>
        </w:tabs>
        <w:suppressAutoHyphens w:val="true"/>
        <w:spacing w:lineRule="exact" w:line="240" w:before="0" w:after="0"/>
        <w:ind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>tel. 748510963, e-mail: nieruchomości@jedlinazdroj.eu</w:t>
      </w:r>
      <w:r>
        <w:rPr>
          <w:rFonts w:eastAsia="Verdana" w:cs="Verdana" w:ascii="Times New Roman" w:hAnsi="Times New Roman"/>
          <w:b w:val="false"/>
          <w:bCs/>
          <w:i w:val="false"/>
          <w:color w:val="FF0000"/>
          <w:spacing w:val="0"/>
          <w:position w:val="0"/>
          <w:sz w:val="22"/>
          <w:sz w:val="22"/>
          <w:szCs w:val="22"/>
          <w:shd w:fill="FFFFFF" w:val="clear"/>
          <w:vertAlign w:val="baseline"/>
          <w:lang w:val="pl-PL" w:eastAsia="en-US" w:bidi="zxx"/>
        </w:rPr>
        <w:t xml:space="preserve">                         </w:t>
      </w:r>
    </w:p>
    <w:p>
      <w:pPr>
        <w:pStyle w:val="Normal"/>
        <w:tabs>
          <w:tab w:val="left" w:pos="8280" w:leader="none"/>
        </w:tabs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/>
          <w:sz w:val="18"/>
          <w:szCs w:val="18"/>
        </w:rPr>
      </w:pPr>
      <w:r>
        <w:rPr>
          <w:rFonts w:eastAsia="Calibri" w:cs="Calibri" w:ascii="Times New Roman" w:hAnsi="Times New Roman"/>
          <w:color w:val="00000A"/>
          <w:spacing w:val="0"/>
          <w:sz w:val="18"/>
          <w:szCs w:val="18"/>
          <w:shd w:fill="FFFFFF" w:val="clear"/>
        </w:rPr>
        <w:t>Sporz. J. Wiśniewska</w:t>
      </w:r>
    </w:p>
    <w:sectPr>
      <w:type w:val="nextPage"/>
      <w:pgSz w:w="12240" w:h="15840"/>
      <w:pgMar w:left="1134" w:right="1134" w:header="0" w:top="1361" w:footer="0" w:bottom="136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cs="Symbol"/>
      <w:sz w:val="24"/>
    </w:rPr>
  </w:style>
  <w:style w:type="character" w:styleId="ListLabel2">
    <w:name w:val="ListLabel 2"/>
    <w:qFormat/>
    <w:rPr>
      <w:rFonts w:ascii="Calibri" w:hAnsi="Calibri" w:cs="Symbol"/>
      <w:sz w:val="22"/>
    </w:rPr>
  </w:style>
  <w:style w:type="character" w:styleId="ListLabel3">
    <w:name w:val="ListLabel 3"/>
    <w:qFormat/>
    <w:rPr>
      <w:rFonts w:ascii="Calibri" w:hAnsi="Calibri" w:cs="Symbol"/>
      <w:b/>
      <w:sz w:val="24"/>
    </w:rPr>
  </w:style>
  <w:style w:type="character" w:styleId="ListLabel4">
    <w:name w:val="ListLabel 4"/>
    <w:qFormat/>
    <w:rPr>
      <w:rFonts w:ascii="Calibri" w:hAnsi="Calibri" w:cs="Symbol"/>
      <w:sz w:val="24"/>
    </w:rPr>
  </w:style>
  <w:style w:type="character" w:styleId="ListLabel5">
    <w:name w:val="ListLabel 5"/>
    <w:qFormat/>
    <w:rPr>
      <w:rFonts w:ascii="Calibri" w:hAnsi="Calibri" w:cs="Symbol"/>
      <w:sz w:val="24"/>
    </w:rPr>
  </w:style>
  <w:style w:type="character" w:styleId="ListLabel6">
    <w:name w:val="ListLabel 6"/>
    <w:qFormat/>
    <w:rPr>
      <w:rFonts w:ascii="Calibri" w:hAnsi="Calibri" w:cs="Symbol"/>
      <w:sz w:val="26"/>
    </w:rPr>
  </w:style>
  <w:style w:type="character" w:styleId="ListLabel7">
    <w:name w:val="ListLabel 7"/>
    <w:qFormat/>
    <w:rPr>
      <w:rFonts w:ascii="Calibri" w:hAnsi="Calibri" w:cs="Symbol"/>
      <w:sz w:val="26"/>
    </w:rPr>
  </w:style>
  <w:style w:type="character" w:styleId="ListLabel8">
    <w:name w:val="ListLabel 8"/>
    <w:qFormat/>
    <w:rPr>
      <w:rFonts w:ascii="Calibri" w:hAnsi="Calibri" w:cs="Symbol"/>
      <w:sz w:val="26"/>
    </w:rPr>
  </w:style>
  <w:style w:type="character" w:styleId="ListLabel9">
    <w:name w:val="ListLabel 9"/>
    <w:qFormat/>
    <w:rPr>
      <w:rFonts w:ascii="Calibri" w:hAnsi="Calibri" w:cs="Symbol"/>
      <w:sz w:val="24"/>
    </w:rPr>
  </w:style>
  <w:style w:type="character" w:styleId="ListLabel10">
    <w:name w:val="ListLabel 10"/>
    <w:qFormat/>
    <w:rPr>
      <w:rFonts w:ascii="Calibri" w:hAnsi="Calibri" w:cs="Symbol"/>
      <w:sz w:val="24"/>
    </w:rPr>
  </w:style>
  <w:style w:type="character" w:styleId="ListLabel11">
    <w:name w:val="ListLabel 11"/>
    <w:qFormat/>
    <w:rPr>
      <w:rFonts w:ascii="Calibri" w:hAnsi="Calibri" w:cs="Symbol"/>
      <w:sz w:val="24"/>
    </w:rPr>
  </w:style>
  <w:style w:type="character" w:styleId="ListLabel12">
    <w:name w:val="ListLabel 12"/>
    <w:qFormat/>
    <w:rPr>
      <w:rFonts w:ascii="Calibri" w:hAnsi="Calibri" w:cs="Symbol"/>
      <w:sz w:val="22"/>
    </w:rPr>
  </w:style>
  <w:style w:type="character" w:styleId="ListLabel13">
    <w:name w:val="ListLabel 13"/>
    <w:qFormat/>
    <w:rPr>
      <w:rFonts w:ascii="Calibri" w:hAnsi="Calibri" w:cs="Symbol"/>
      <w:sz w:val="22"/>
    </w:rPr>
  </w:style>
  <w:style w:type="character" w:styleId="ListLabel14">
    <w:name w:val="ListLabel 14"/>
    <w:qFormat/>
    <w:rPr>
      <w:rFonts w:ascii="Calibri" w:hAnsi="Calibri" w:eastAsia="Calibri" w:cs="Calibri"/>
      <w:color w:val="000080"/>
      <w:spacing w:val="0"/>
      <w:sz w:val="24"/>
      <w:shd w:fill="FFFFFF" w:val="clear"/>
    </w:rPr>
  </w:style>
  <w:style w:type="character" w:styleId="ListLabel15">
    <w:name w:val="ListLabel 15"/>
    <w:qFormat/>
    <w:rPr>
      <w:rFonts w:ascii="Calibri" w:hAnsi="Calibri" w:eastAsia="Calibri" w:cs="Calibri"/>
      <w:color w:val="000080"/>
      <w:spacing w:val="0"/>
      <w:sz w:val="22"/>
      <w:shd w:fill="FFFFFF" w:val="clear"/>
    </w:rPr>
  </w:style>
  <w:style w:type="character" w:styleId="ListLabel16">
    <w:name w:val="ListLabel 16"/>
    <w:qFormat/>
    <w:rPr>
      <w:rFonts w:ascii="Calibri" w:hAnsi="Calibri" w:eastAsia="Calibri" w:cs="Calibri"/>
      <w:vanish/>
      <w:color w:val="000080"/>
      <w:spacing w:val="0"/>
      <w:sz w:val="22"/>
      <w:shd w:fill="FFFFFF" w:val="clear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7">
    <w:name w:val="ListLabel 17"/>
    <w:qFormat/>
    <w:rPr>
      <w:rFonts w:ascii="Calibri" w:hAnsi="Calibri" w:cs="Symbol"/>
      <w:sz w:val="24"/>
    </w:rPr>
  </w:style>
  <w:style w:type="character" w:styleId="ListLabel18">
    <w:name w:val="ListLabel 18"/>
    <w:qFormat/>
    <w:rPr>
      <w:rFonts w:cs="Symbol"/>
      <w:sz w:val="22"/>
    </w:rPr>
  </w:style>
  <w:style w:type="character" w:styleId="ListLabel19">
    <w:name w:val="ListLabel 19"/>
    <w:qFormat/>
    <w:rPr>
      <w:rFonts w:ascii="Calibri" w:hAnsi="Calibri" w:cs="Symbol"/>
      <w:b/>
      <w:sz w:val="24"/>
    </w:rPr>
  </w:style>
  <w:style w:type="character" w:styleId="ListLabel20">
    <w:name w:val="ListLabel 20"/>
    <w:qFormat/>
    <w:rPr>
      <w:rFonts w:ascii="Calibri" w:hAnsi="Calibri" w:cs="Symbol"/>
      <w:sz w:val="24"/>
    </w:rPr>
  </w:style>
  <w:style w:type="character" w:styleId="ListLabel21">
    <w:name w:val="ListLabel 21"/>
    <w:qFormat/>
    <w:rPr>
      <w:rFonts w:ascii="Calibri" w:hAnsi="Calibri" w:cs="Symbol"/>
      <w:sz w:val="24"/>
    </w:rPr>
  </w:style>
  <w:style w:type="character" w:styleId="ListLabel22">
    <w:name w:val="ListLabel 22"/>
    <w:qFormat/>
    <w:rPr>
      <w:rFonts w:ascii="Calibri" w:hAnsi="Calibri" w:cs="Symbol"/>
      <w:sz w:val="26"/>
    </w:rPr>
  </w:style>
  <w:style w:type="character" w:styleId="ListLabel23">
    <w:name w:val="ListLabel 23"/>
    <w:qFormat/>
    <w:rPr>
      <w:rFonts w:ascii="Calibri" w:hAnsi="Calibri" w:cs="Symbol"/>
      <w:sz w:val="26"/>
    </w:rPr>
  </w:style>
  <w:style w:type="character" w:styleId="ListLabel24">
    <w:name w:val="ListLabel 24"/>
    <w:qFormat/>
    <w:rPr>
      <w:rFonts w:cs="Symbol"/>
      <w:sz w:val="24"/>
    </w:rPr>
  </w:style>
  <w:style w:type="character" w:styleId="ListLabel25">
    <w:name w:val="ListLabel 25"/>
    <w:qFormat/>
    <w:rPr>
      <w:rFonts w:ascii="Calibri" w:hAnsi="Calibri" w:cs="Symbol"/>
      <w:sz w:val="24"/>
    </w:rPr>
  </w:style>
  <w:style w:type="character" w:styleId="ListLabel26">
    <w:name w:val="ListLabel 26"/>
    <w:qFormat/>
    <w:rPr>
      <w:rFonts w:ascii="Calibri" w:hAnsi="Calibri" w:cs="Symbol"/>
      <w:sz w:val="24"/>
    </w:rPr>
  </w:style>
  <w:style w:type="character" w:styleId="ListLabel27">
    <w:name w:val="ListLabel 27"/>
    <w:qFormat/>
    <w:rPr>
      <w:rFonts w:ascii="Calibri" w:hAnsi="Calibri" w:cs="Symbol"/>
      <w:sz w:val="22"/>
    </w:rPr>
  </w:style>
  <w:style w:type="character" w:styleId="ListLabel28">
    <w:name w:val="ListLabel 28"/>
    <w:qFormat/>
    <w:rPr>
      <w:rFonts w:ascii="Calibri" w:hAnsi="Calibri" w:cs="Symbol"/>
      <w:sz w:val="22"/>
    </w:rPr>
  </w:style>
  <w:style w:type="character" w:styleId="ListLabel29">
    <w:name w:val="ListLabel 29"/>
    <w:qFormat/>
    <w:rPr>
      <w:rFonts w:ascii="Calibri" w:hAnsi="Calibri" w:eastAsia="Calibri" w:cs="Calibri"/>
      <w:color w:val="000080"/>
      <w:spacing w:val="0"/>
      <w:sz w:val="22"/>
      <w:szCs w:val="22"/>
      <w:shd w:fill="FFFFFF" w:val="clear"/>
    </w:rPr>
  </w:style>
  <w:style w:type="character" w:styleId="ListLabel30">
    <w:name w:val="ListLabel 30"/>
    <w:qFormat/>
    <w:rPr>
      <w:rFonts w:ascii="Calibri" w:hAnsi="Calibri" w:eastAsia="Calibri" w:cs="Calibri"/>
      <w:color w:val="000080"/>
      <w:spacing w:val="0"/>
      <w:sz w:val="22"/>
      <w:szCs w:val="22"/>
      <w:highlight w:val="white"/>
      <w:u w:val="single"/>
    </w:rPr>
  </w:style>
  <w:style w:type="character" w:styleId="ListLabel31">
    <w:name w:val="ListLabel 31"/>
    <w:qFormat/>
    <w:rPr>
      <w:rFonts w:ascii="Calibri" w:hAnsi="Calibri" w:cs="Symbol"/>
      <w:sz w:val="24"/>
    </w:rPr>
  </w:style>
  <w:style w:type="character" w:styleId="ListLabel32">
    <w:name w:val="ListLabel 32"/>
    <w:qFormat/>
    <w:rPr>
      <w:rFonts w:cs="Symbol"/>
      <w:sz w:val="22"/>
    </w:rPr>
  </w:style>
  <w:style w:type="character" w:styleId="ListLabel33">
    <w:name w:val="ListLabel 33"/>
    <w:qFormat/>
    <w:rPr>
      <w:rFonts w:ascii="Calibri" w:hAnsi="Calibri" w:cs="Symbol"/>
      <w:b/>
      <w:sz w:val="24"/>
    </w:rPr>
  </w:style>
  <w:style w:type="character" w:styleId="ListLabel34">
    <w:name w:val="ListLabel 34"/>
    <w:qFormat/>
    <w:rPr>
      <w:rFonts w:ascii="Calibri" w:hAnsi="Calibri" w:cs="Symbol"/>
      <w:sz w:val="24"/>
    </w:rPr>
  </w:style>
  <w:style w:type="character" w:styleId="ListLabel35">
    <w:name w:val="ListLabel 35"/>
    <w:qFormat/>
    <w:rPr>
      <w:rFonts w:ascii="Calibri" w:hAnsi="Calibri" w:cs="Symbol"/>
      <w:sz w:val="24"/>
    </w:rPr>
  </w:style>
  <w:style w:type="character" w:styleId="ListLabel36">
    <w:name w:val="ListLabel 36"/>
    <w:qFormat/>
    <w:rPr>
      <w:rFonts w:ascii="Calibri" w:hAnsi="Calibri" w:cs="Symbol"/>
      <w:sz w:val="26"/>
    </w:rPr>
  </w:style>
  <w:style w:type="character" w:styleId="ListLabel37">
    <w:name w:val="ListLabel 37"/>
    <w:qFormat/>
    <w:rPr>
      <w:rFonts w:ascii="Calibri" w:hAnsi="Calibri" w:cs="Symbol"/>
      <w:sz w:val="26"/>
    </w:rPr>
  </w:style>
  <w:style w:type="character" w:styleId="ListLabel38">
    <w:name w:val="ListLabel 38"/>
    <w:qFormat/>
    <w:rPr>
      <w:rFonts w:cs="Symbol"/>
      <w:sz w:val="24"/>
    </w:rPr>
  </w:style>
  <w:style w:type="character" w:styleId="ListLabel39">
    <w:name w:val="ListLabel 39"/>
    <w:qFormat/>
    <w:rPr>
      <w:rFonts w:ascii="Calibri" w:hAnsi="Calibri" w:cs="Symbol"/>
      <w:sz w:val="24"/>
    </w:rPr>
  </w:style>
  <w:style w:type="character" w:styleId="ListLabel40">
    <w:name w:val="ListLabel 40"/>
    <w:qFormat/>
    <w:rPr>
      <w:rFonts w:ascii="Calibri" w:hAnsi="Calibri" w:cs="Symbol"/>
      <w:sz w:val="24"/>
    </w:rPr>
  </w:style>
  <w:style w:type="character" w:styleId="ListLabel41">
    <w:name w:val="ListLabel 41"/>
    <w:qFormat/>
    <w:rPr>
      <w:rFonts w:ascii="Calibri" w:hAnsi="Calibri" w:cs="Symbol"/>
      <w:sz w:val="22"/>
    </w:rPr>
  </w:style>
  <w:style w:type="character" w:styleId="ListLabel42">
    <w:name w:val="ListLabel 42"/>
    <w:qFormat/>
    <w:rPr>
      <w:rFonts w:ascii="Calibri" w:hAnsi="Calibri" w:cs="Symbol"/>
      <w:sz w:val="22"/>
    </w:rPr>
  </w:style>
  <w:style w:type="character" w:styleId="ListLabel43">
    <w:name w:val="ListLabel 43"/>
    <w:qFormat/>
    <w:rPr>
      <w:rFonts w:ascii="Calibri" w:hAnsi="Calibri" w:eastAsia="Calibri" w:cs="Calibri"/>
      <w:color w:val="000080"/>
      <w:spacing w:val="0"/>
      <w:sz w:val="22"/>
      <w:szCs w:val="22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um.jedlina.pl/" TargetMode="External"/><Relationship Id="rId3" Type="http://schemas.openxmlformats.org/officeDocument/2006/relationships/hyperlink" Target="http://www.jedlinazdroj.e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LibreOffice/6.0.4.2$Windows_x86 LibreOffice_project/9b0d9b32d5dcda91d2f1a96dc04c645c450872bf</Application>
  <Pages>2</Pages>
  <Words>1001</Words>
  <Characters>6123</Characters>
  <CharactersWithSpaces>7249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2019-03-26T12:52:11Z</cp:lastPrinted>
  <dcterms:modified xsi:type="dcterms:W3CDTF">2019-03-26T13:01:38Z</dcterms:modified>
  <cp:revision>6</cp:revision>
  <dc:subject/>
  <dc:title/>
</cp:coreProperties>
</file>