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334B2">
        <w:t>31</w:t>
      </w:r>
      <w:r w:rsidR="00C769F3">
        <w:t>.202</w:t>
      </w:r>
      <w:r w:rsidR="002334B2">
        <w:t>0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54D31">
        <w:rPr>
          <w:rFonts w:cstheme="minorHAnsi"/>
        </w:rPr>
        <w:t>28</w:t>
      </w:r>
      <w:r w:rsidR="00BF052A" w:rsidRPr="00C6683A">
        <w:rPr>
          <w:rFonts w:cstheme="minorHAnsi"/>
        </w:rPr>
        <w:t>.</w:t>
      </w:r>
      <w:r w:rsidR="00CB1544">
        <w:rPr>
          <w:rFonts w:cstheme="minorHAnsi"/>
        </w:rPr>
        <w:t>0</w:t>
      </w:r>
      <w:r w:rsidR="00954D31">
        <w:rPr>
          <w:rFonts w:cstheme="minorHAnsi"/>
        </w:rPr>
        <w:t>8</w:t>
      </w:r>
      <w:r w:rsidR="001A4B56" w:rsidRPr="00C6683A">
        <w:rPr>
          <w:rFonts w:cstheme="minorHAnsi"/>
        </w:rPr>
        <w:t>.202</w:t>
      </w:r>
      <w:r w:rsidR="00CB1544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954D31">
        <w:rPr>
          <w:b/>
        </w:rPr>
        <w:t>I</w:t>
      </w: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8358E0">
        <w:t>0</w:t>
      </w:r>
      <w:r w:rsidR="002334B2">
        <w:t>835</w:t>
      </w:r>
      <w:r w:rsidR="00052DD4" w:rsidRPr="00C6683A">
        <w:t xml:space="preserve"> ha, położonej w Jedlinie-Zdroju przy </w:t>
      </w:r>
      <w:r w:rsidR="00052DD4" w:rsidRPr="00C6683A">
        <w:rPr>
          <w:b/>
        </w:rPr>
        <w:t xml:space="preserve">ul. </w:t>
      </w:r>
      <w:r w:rsidR="002334B2">
        <w:rPr>
          <w:b/>
        </w:rPr>
        <w:t>Północnej nr 21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2334B2">
        <w:rPr>
          <w:b/>
        </w:rPr>
        <w:t>29/5</w:t>
      </w:r>
      <w:r w:rsidR="00052DD4" w:rsidRPr="00C6683A">
        <w:t>, dla której Sąd Rejonowy w Wałbrzychu prowadzi księ</w:t>
      </w:r>
      <w:r w:rsidR="000E4111">
        <w:t>gę wieczystą nr SW1W/000</w:t>
      </w:r>
      <w:r w:rsidR="002334B2">
        <w:t>19722/2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2334B2">
        <w:t>835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2334B2">
        <w:t>przy lokalnej drodze</w:t>
      </w:r>
      <w:r w:rsidR="0068700C">
        <w:t xml:space="preserve">       </w:t>
      </w:r>
      <w:r w:rsidR="002334B2">
        <w:t xml:space="preserve"> o nawierzchni asfaltowej – ulicy Północnej. Znajduje się na terenach atrakcyjnych dla mieszkalnictwa, w sąsiedztwie centrum uzdrowiskowego Jedliny-Zdrój oraz terenów zielonych – parku i terenów leśnych. </w:t>
      </w:r>
      <w:r w:rsidR="0027190D">
        <w:t xml:space="preserve">Najbliższe otoczenie stanowi zabudowa mieszkaniowa, głównie jednorodzinna. Nieruchomość leży w większej odległości od infrastruktury społecznej, w zasięgu obiektów uzdrowiskowych, terenów rekreacyjnych oraz w zasięgu przystanków komunikacji publicznej zbiorowej. Działka ma kształt zbliżony do trapezu i nie jest zabudowana. Teren o znacznym spadku w kierunku wschodnim porośnięty roślinnością. Działka nie jest uzbrojona. </w:t>
      </w:r>
      <w:r w:rsidR="00E93271">
        <w:t>Według danych ewidencyjnych</w:t>
      </w:r>
      <w:r w:rsidR="0027190D">
        <w:t xml:space="preserve"> </w:t>
      </w:r>
      <w:r w:rsidR="00E93271">
        <w:t xml:space="preserve">w </w:t>
      </w:r>
      <w:r w:rsidR="0027190D">
        <w:t>ulicy Północnej</w:t>
      </w:r>
      <w:r w:rsidR="00E93271">
        <w:t xml:space="preserve"> znajdują się przyłącza sieci </w:t>
      </w:r>
      <w:r w:rsidR="0027190D">
        <w:t>wodno-</w:t>
      </w:r>
      <w:r w:rsidR="00E93271">
        <w:t>kanalizacyjnej, gazowej</w:t>
      </w:r>
      <w:r w:rsidR="00B444B6">
        <w:t xml:space="preserve"> i energetycznej</w:t>
      </w:r>
      <w:r w:rsidR="00E93271">
        <w:t>. W p</w:t>
      </w:r>
      <w:r w:rsidR="00B444B6">
        <w:t xml:space="preserve">ołudniowo-wschodniej części </w:t>
      </w:r>
      <w:r w:rsidR="00E93271">
        <w:t>działki</w:t>
      </w:r>
      <w:r w:rsidR="00B444B6">
        <w:t>, przy granicy z drogą znajduje się</w:t>
      </w:r>
      <w:r w:rsidR="00E93271">
        <w:t xml:space="preserve"> słup </w:t>
      </w:r>
      <w:r w:rsidR="00B444B6">
        <w:t>sieci telekomunikacyjnej</w:t>
      </w:r>
      <w:r w:rsidR="00E93271">
        <w:t xml:space="preserve">. Działka posiada </w:t>
      </w:r>
      <w:r w:rsidR="00B444B6">
        <w:t xml:space="preserve">bezpośredni </w:t>
      </w:r>
      <w:r w:rsidR="00E93271">
        <w:t>dostęp do drogi</w:t>
      </w:r>
      <w:r w:rsidR="00B444B6">
        <w:t xml:space="preserve"> publicznej</w:t>
      </w:r>
      <w:r w:rsidR="00E93271">
        <w:t xml:space="preserve"> </w:t>
      </w:r>
      <w:r w:rsidR="00B444B6">
        <w:t xml:space="preserve">- </w:t>
      </w:r>
      <w:r w:rsidR="00E93271">
        <w:t xml:space="preserve">ulicy </w:t>
      </w:r>
      <w:r w:rsidR="00B444B6">
        <w:t xml:space="preserve">Północnej. </w:t>
      </w:r>
      <w:r w:rsidR="00E93271">
        <w:t xml:space="preserve">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6C5C48">
        <w:t>2.32MN</w:t>
      </w:r>
      <w:r w:rsidR="001A4B56" w:rsidRPr="00C6683A">
        <w:t xml:space="preserve"> z </w:t>
      </w:r>
      <w:r w:rsidR="0058233F" w:rsidRPr="00C6683A">
        <w:t>zapisem tereny zabudowy mieszkaniowej jednorodzinnej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BA317D" w:rsidRDefault="00BA317D" w:rsidP="00C6683A">
      <w:pPr>
        <w:pStyle w:val="Bezodstpw"/>
        <w:jc w:val="both"/>
        <w:rPr>
          <w:rStyle w:val="ListLabel12"/>
          <w:b/>
        </w:rPr>
      </w:pPr>
      <w:r w:rsidRPr="00BA317D">
        <w:rPr>
          <w:rStyle w:val="ListLabel12"/>
          <w:b/>
        </w:rPr>
        <w:t>3.</w:t>
      </w:r>
      <w:r>
        <w:rPr>
          <w:rStyle w:val="ListLabel12"/>
        </w:rPr>
        <w:t xml:space="preserve"> </w:t>
      </w:r>
      <w:r>
        <w:rPr>
          <w:rStyle w:val="ListLabel12"/>
          <w:b/>
        </w:rPr>
        <w:t>TERMINY PRZEPROWADZONYCH PRZETARGÓW:</w:t>
      </w:r>
    </w:p>
    <w:p w:rsidR="00BA317D" w:rsidRPr="00B32857" w:rsidRDefault="008A5B02" w:rsidP="00C6683A">
      <w:pPr>
        <w:pStyle w:val="Bezodstpw"/>
        <w:jc w:val="both"/>
        <w:rPr>
          <w:rFonts w:ascii="Calibri" w:hAnsi="Calibri" w:cs="Symbol"/>
        </w:rPr>
      </w:pPr>
      <w:r>
        <w:rPr>
          <w:rStyle w:val="ListLabel12"/>
        </w:rPr>
        <w:t xml:space="preserve">I </w:t>
      </w:r>
      <w:r w:rsidR="00BA317D">
        <w:rPr>
          <w:rStyle w:val="ListLabel12"/>
        </w:rPr>
        <w:t xml:space="preserve">- </w:t>
      </w:r>
      <w:r w:rsidR="00B32857">
        <w:rPr>
          <w:rStyle w:val="ListLabel12"/>
        </w:rPr>
        <w:t>19</w:t>
      </w:r>
      <w:r w:rsidR="00BA317D">
        <w:rPr>
          <w:rStyle w:val="ListLabel12"/>
        </w:rPr>
        <w:t>.0</w:t>
      </w:r>
      <w:r w:rsidR="00B32857">
        <w:rPr>
          <w:rStyle w:val="ListLabel12"/>
        </w:rPr>
        <w:t>6</w:t>
      </w:r>
      <w:r w:rsidR="00BA317D">
        <w:rPr>
          <w:rStyle w:val="ListLabel12"/>
        </w:rPr>
        <w:t>.202</w:t>
      </w:r>
      <w:r w:rsidR="00CB1544">
        <w:rPr>
          <w:rStyle w:val="ListLabel12"/>
        </w:rPr>
        <w:t>4</w:t>
      </w:r>
      <w:r w:rsidR="00BA317D">
        <w:rPr>
          <w:rStyle w:val="ListLabel12"/>
        </w:rPr>
        <w:t xml:space="preserve"> r.</w:t>
      </w:r>
      <w:r>
        <w:rPr>
          <w:rStyle w:val="ListLabel12"/>
        </w:rPr>
        <w:t xml:space="preserve"> </w:t>
      </w:r>
      <w:r w:rsidR="00954D31">
        <w:rPr>
          <w:rStyle w:val="ListLabel12"/>
        </w:rPr>
        <w:t xml:space="preserve">, II – 13.08.2024 r. </w:t>
      </w:r>
      <w:r w:rsidR="00423439">
        <w:rPr>
          <w:rStyle w:val="ListLabel12"/>
        </w:rPr>
        <w:t xml:space="preserve"> </w:t>
      </w:r>
    </w:p>
    <w:p w:rsidR="00737180" w:rsidRPr="00C6683A" w:rsidRDefault="00BA317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BA317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B32857">
        <w:rPr>
          <w:rFonts w:cstheme="minorHAnsi"/>
          <w:b/>
          <w:sz w:val="36"/>
          <w:szCs w:val="36"/>
        </w:rPr>
        <w:t>7</w:t>
      </w:r>
      <w:r w:rsidR="00CB1544">
        <w:rPr>
          <w:rFonts w:cstheme="minorHAnsi"/>
          <w:b/>
          <w:sz w:val="36"/>
          <w:szCs w:val="36"/>
        </w:rPr>
        <w:t>4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BA317D">
      <w:pPr>
        <w:pStyle w:val="Bezodstpw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954D31">
        <w:rPr>
          <w:rFonts w:cstheme="minorHAnsi"/>
          <w:b/>
          <w:i/>
          <w:sz w:val="36"/>
          <w:szCs w:val="36"/>
        </w:rPr>
        <w:t>16</w:t>
      </w:r>
      <w:r w:rsidR="00B32857">
        <w:rPr>
          <w:rFonts w:cstheme="minorHAnsi"/>
          <w:b/>
          <w:i/>
          <w:sz w:val="36"/>
          <w:szCs w:val="36"/>
        </w:rPr>
        <w:t xml:space="preserve"> </w:t>
      </w:r>
      <w:r w:rsidR="00954D31">
        <w:rPr>
          <w:rFonts w:cstheme="minorHAnsi"/>
          <w:b/>
          <w:i/>
          <w:sz w:val="36"/>
          <w:szCs w:val="36"/>
        </w:rPr>
        <w:t>października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8A5B02">
        <w:rPr>
          <w:rFonts w:cstheme="minorHAnsi"/>
          <w:b/>
          <w:i/>
          <w:sz w:val="36"/>
          <w:szCs w:val="36"/>
        </w:rPr>
        <w:t>4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CB1544">
        <w:rPr>
          <w:rFonts w:cstheme="minorHAnsi"/>
        </w:rPr>
        <w:t>7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CB1544">
        <w:rPr>
          <w:rFonts w:cstheme="minorHAnsi"/>
        </w:rPr>
        <w:t xml:space="preserve">siedem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954D31">
        <w:rPr>
          <w:rFonts w:cstheme="minorHAnsi"/>
          <w:u w:val="single"/>
        </w:rPr>
        <w:t>9</w:t>
      </w:r>
      <w:r w:rsidR="00CB1544">
        <w:rPr>
          <w:rFonts w:cstheme="minorHAnsi"/>
          <w:u w:val="single"/>
        </w:rPr>
        <w:t xml:space="preserve"> </w:t>
      </w:r>
      <w:r w:rsidR="00954D31">
        <w:rPr>
          <w:rFonts w:cstheme="minorHAnsi"/>
          <w:u w:val="single"/>
        </w:rPr>
        <w:t>października</w:t>
      </w:r>
      <w:r w:rsidR="00D26131" w:rsidRPr="009A7D47">
        <w:rPr>
          <w:rFonts w:cstheme="minorHAnsi"/>
          <w:u w:val="single"/>
        </w:rPr>
        <w:t xml:space="preserve"> 202</w:t>
      </w:r>
      <w:r w:rsidR="008A5B02">
        <w:rPr>
          <w:rFonts w:cstheme="minorHAnsi"/>
          <w:u w:val="single"/>
        </w:rPr>
        <w:t>4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6C5C48" w:rsidRPr="009A7D47">
        <w:rPr>
          <w:rFonts w:cstheme="minorHAnsi"/>
        </w:rPr>
        <w:t>29/5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  <w:bookmarkStart w:id="0" w:name="_GoBack"/>
      <w:bookmarkEnd w:id="0"/>
    </w:p>
    <w:p w:rsidR="00D26131" w:rsidRPr="00DD7E8A" w:rsidRDefault="00154B14" w:rsidP="00C6683A">
      <w:pPr>
        <w:pStyle w:val="Bezodstpw"/>
        <w:jc w:val="both"/>
        <w:rPr>
          <w:rFonts w:cstheme="minorHAnsi"/>
          <w:b/>
        </w:rPr>
      </w:pPr>
      <w:r w:rsidRPr="00DD7E8A">
        <w:rPr>
          <w:rFonts w:cstheme="minorHAnsi"/>
          <w:b/>
        </w:rPr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lastRenderedPageBreak/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DD7E8A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634BF8">
        <w:rPr>
          <w:rFonts w:eastAsia="SimSun" w:cstheme="minorHAnsi"/>
          <w:sz w:val="22"/>
          <w:szCs w:val="22"/>
        </w:rPr>
        <w:t xml:space="preserve">Warunkiem udziału w przetargu jest przedłożenie </w:t>
      </w:r>
      <w:r w:rsidR="00526DB9" w:rsidRPr="00DD7E8A">
        <w:rPr>
          <w:rFonts w:ascii="Calibri" w:hAnsi="Calibri" w:cs="Calibri"/>
          <w:sz w:val="22"/>
          <w:szCs w:val="22"/>
        </w:rPr>
        <w:t>komisji przetargowej</w:t>
      </w:r>
      <w:r w:rsidR="00526DB9">
        <w:rPr>
          <w:rFonts w:eastAsia="SimSun" w:cstheme="minorHAnsi"/>
          <w:sz w:val="22"/>
          <w:szCs w:val="22"/>
        </w:rPr>
        <w:t xml:space="preserve"> </w:t>
      </w:r>
      <w:r w:rsidR="00526DB9" w:rsidRPr="00DD7E8A">
        <w:rPr>
          <w:rFonts w:ascii="Calibri" w:hAnsi="Calibri" w:cs="Calibri"/>
          <w:sz w:val="22"/>
          <w:szCs w:val="22"/>
        </w:rPr>
        <w:t xml:space="preserve">przed otwarciem przetargu </w:t>
      </w:r>
      <w:r w:rsidR="00BD06E5">
        <w:rPr>
          <w:rFonts w:eastAsia="SimSun" w:cstheme="minorHAnsi"/>
          <w:sz w:val="22"/>
          <w:szCs w:val="22"/>
        </w:rPr>
        <w:t>przez u</w:t>
      </w:r>
      <w:r w:rsidR="00BD06E5" w:rsidRPr="00DD7E8A">
        <w:rPr>
          <w:rFonts w:ascii="Calibri" w:hAnsi="Calibri" w:cs="Calibri"/>
          <w:sz w:val="22"/>
          <w:szCs w:val="22"/>
        </w:rPr>
        <w:t>czestnik</w:t>
      </w:r>
      <w:r w:rsidR="00BD06E5">
        <w:rPr>
          <w:rFonts w:ascii="Calibri" w:hAnsi="Calibri" w:cs="Calibri"/>
          <w:sz w:val="22"/>
          <w:szCs w:val="22"/>
        </w:rPr>
        <w:t>a</w:t>
      </w:r>
      <w:r w:rsidR="00BD06E5" w:rsidRPr="00DD7E8A">
        <w:rPr>
          <w:rFonts w:ascii="Calibri" w:hAnsi="Calibri" w:cs="Calibri"/>
          <w:sz w:val="22"/>
          <w:szCs w:val="22"/>
        </w:rPr>
        <w:t xml:space="preserve"> przetargu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dokumentów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94EFF"/>
    <w:rsid w:val="001A4B56"/>
    <w:rsid w:val="001B1B77"/>
    <w:rsid w:val="001D5196"/>
    <w:rsid w:val="001E7E6A"/>
    <w:rsid w:val="001F0E06"/>
    <w:rsid w:val="002334B2"/>
    <w:rsid w:val="0027190D"/>
    <w:rsid w:val="00302808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6495B"/>
    <w:rsid w:val="004C081D"/>
    <w:rsid w:val="00526DB9"/>
    <w:rsid w:val="00580817"/>
    <w:rsid w:val="0058233F"/>
    <w:rsid w:val="005B139E"/>
    <w:rsid w:val="00634BF8"/>
    <w:rsid w:val="00640062"/>
    <w:rsid w:val="00647A8D"/>
    <w:rsid w:val="00665EE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B655A"/>
    <w:rsid w:val="007C6393"/>
    <w:rsid w:val="00820AD6"/>
    <w:rsid w:val="00824BF5"/>
    <w:rsid w:val="008358E0"/>
    <w:rsid w:val="008A5B02"/>
    <w:rsid w:val="008F60FB"/>
    <w:rsid w:val="0090533B"/>
    <w:rsid w:val="00915702"/>
    <w:rsid w:val="009174E0"/>
    <w:rsid w:val="00954D31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E93271"/>
    <w:rsid w:val="00EB2664"/>
    <w:rsid w:val="00ED6E9C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2024-08-28T12:28:00Z</cp:lastPrinted>
  <dcterms:created xsi:type="dcterms:W3CDTF">2024-08-28T12:28:00Z</dcterms:created>
  <dcterms:modified xsi:type="dcterms:W3CDTF">2024-08-28T12:28:00Z</dcterms:modified>
</cp:coreProperties>
</file>