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78C87" w14:textId="77777777" w:rsidR="00BF4FFC" w:rsidRDefault="00BF4FFC">
      <w:pPr>
        <w:jc w:val="center"/>
        <w:rPr>
          <w:rFonts w:cs="Calibri"/>
        </w:rPr>
      </w:pPr>
    </w:p>
    <w:p w14:paraId="1D46CEA1" w14:textId="77777777" w:rsidR="00A2246C" w:rsidRDefault="00A2246C">
      <w:pPr>
        <w:jc w:val="center"/>
        <w:rPr>
          <w:rFonts w:cs="Calibri"/>
        </w:rPr>
      </w:pPr>
    </w:p>
    <w:p w14:paraId="66EAD3DC" w14:textId="77777777" w:rsidR="00A2246C" w:rsidRDefault="00A2246C">
      <w:pPr>
        <w:jc w:val="center"/>
        <w:rPr>
          <w:rFonts w:cs="Calibri"/>
        </w:rPr>
      </w:pPr>
    </w:p>
    <w:p w14:paraId="6698E1D9" w14:textId="77777777" w:rsidR="00A2246C" w:rsidRDefault="00A2246C">
      <w:pPr>
        <w:jc w:val="center"/>
        <w:rPr>
          <w:rFonts w:cs="Calibri"/>
        </w:rPr>
      </w:pPr>
    </w:p>
    <w:p w14:paraId="035394CC" w14:textId="77777777" w:rsidR="00A2246C" w:rsidRDefault="00A2246C">
      <w:pPr>
        <w:jc w:val="center"/>
        <w:rPr>
          <w:rFonts w:cs="Calibri"/>
        </w:rPr>
      </w:pPr>
    </w:p>
    <w:p w14:paraId="29B47841" w14:textId="77777777" w:rsidR="00A2246C" w:rsidRDefault="00A2246C" w:rsidP="00D231BB">
      <w:pPr>
        <w:rPr>
          <w:rFonts w:cs="Calibri"/>
        </w:rPr>
      </w:pPr>
    </w:p>
    <w:p w14:paraId="4B139FD8" w14:textId="77777777" w:rsidR="00A2246C" w:rsidRDefault="00A2246C">
      <w:pPr>
        <w:jc w:val="center"/>
        <w:rPr>
          <w:rFonts w:cs="Calibri"/>
        </w:rPr>
      </w:pPr>
    </w:p>
    <w:p w14:paraId="1306BD69" w14:textId="77777777" w:rsidR="00BF4FFC" w:rsidRDefault="00BF4FFC">
      <w:pPr>
        <w:jc w:val="center"/>
        <w:rPr>
          <w:rFonts w:cs="Calibri"/>
        </w:rPr>
      </w:pPr>
    </w:p>
    <w:p w14:paraId="049D18A0" w14:textId="77777777" w:rsidR="00BF4FFC" w:rsidRDefault="00BF4FFC">
      <w:pPr>
        <w:jc w:val="center"/>
        <w:rPr>
          <w:rFonts w:ascii="Arial Narrow" w:hAnsi="Arial Narrow"/>
          <w:b/>
          <w:sz w:val="40"/>
          <w:szCs w:val="40"/>
        </w:rPr>
      </w:pPr>
    </w:p>
    <w:p w14:paraId="69FB44B6" w14:textId="77777777" w:rsidR="00BF4FFC" w:rsidRDefault="00BF4FFC">
      <w:pPr>
        <w:jc w:val="center"/>
        <w:rPr>
          <w:rFonts w:ascii="Arial Narrow" w:hAnsi="Arial Narrow"/>
          <w:b/>
          <w:sz w:val="40"/>
          <w:szCs w:val="40"/>
        </w:rPr>
      </w:pPr>
    </w:p>
    <w:p w14:paraId="48D5B4A4" w14:textId="2740B793" w:rsidR="001431B1" w:rsidRDefault="009871AE" w:rsidP="001431B1">
      <w:pPr>
        <w:jc w:val="center"/>
        <w:rPr>
          <w:rFonts w:cs="Calibri"/>
          <w:bCs/>
          <w:sz w:val="32"/>
          <w:szCs w:val="32"/>
        </w:rPr>
      </w:pPr>
      <w:r w:rsidRPr="008A03E4">
        <w:rPr>
          <w:rFonts w:cs="Calibri"/>
          <w:b/>
          <w:sz w:val="40"/>
          <w:szCs w:val="40"/>
        </w:rPr>
        <w:t xml:space="preserve">Diagnoza </w:t>
      </w:r>
      <w:bookmarkStart w:id="0" w:name="_Hlk206414654"/>
      <w:r w:rsidRPr="008A03E4">
        <w:rPr>
          <w:rFonts w:cs="Calibri"/>
          <w:b/>
          <w:sz w:val="40"/>
          <w:szCs w:val="40"/>
        </w:rPr>
        <w:t>służąca wyznaczeniu obszaru zdegradowanego</w:t>
      </w:r>
      <w:r w:rsidR="00DE134A">
        <w:rPr>
          <w:rFonts w:cs="Calibri"/>
          <w:b/>
          <w:sz w:val="40"/>
          <w:szCs w:val="40"/>
        </w:rPr>
        <w:t xml:space="preserve">             </w:t>
      </w:r>
      <w:r w:rsidRPr="008A03E4">
        <w:rPr>
          <w:rFonts w:cs="Calibri"/>
          <w:b/>
          <w:sz w:val="40"/>
          <w:szCs w:val="40"/>
        </w:rPr>
        <w:t xml:space="preserve"> i obszaru rewitalizacji </w:t>
      </w:r>
      <w:bookmarkEnd w:id="0"/>
      <w:r w:rsidR="00174C87">
        <w:rPr>
          <w:rFonts w:cs="Calibri"/>
          <w:b/>
          <w:sz w:val="40"/>
          <w:szCs w:val="40"/>
        </w:rPr>
        <w:t>Krośniewic</w:t>
      </w:r>
    </w:p>
    <w:p w14:paraId="40472601" w14:textId="0489D51A" w:rsidR="00D231BB" w:rsidRPr="00D231BB" w:rsidRDefault="001431B1" w:rsidP="00D231BB">
      <w:pPr>
        <w:spacing w:after="480"/>
        <w:jc w:val="center"/>
        <w:rPr>
          <w:rFonts w:cs="Calibri"/>
          <w:bCs/>
          <w:sz w:val="32"/>
          <w:szCs w:val="32"/>
        </w:rPr>
      </w:pPr>
      <w:r w:rsidRPr="001431B1">
        <w:rPr>
          <w:rFonts w:cs="Calibri"/>
          <w:bCs/>
          <w:sz w:val="32"/>
          <w:szCs w:val="32"/>
        </w:rPr>
        <w:t>o której mowa w art. 4 ust. 1 pkt 1</w:t>
      </w:r>
      <w:r>
        <w:rPr>
          <w:rFonts w:cs="Calibri"/>
          <w:bCs/>
          <w:sz w:val="32"/>
          <w:szCs w:val="32"/>
        </w:rPr>
        <w:t xml:space="preserve"> ustawy </w:t>
      </w:r>
      <w:r w:rsidR="002E16DF">
        <w:rPr>
          <w:rFonts w:cs="Calibri"/>
          <w:bCs/>
          <w:sz w:val="32"/>
          <w:szCs w:val="32"/>
        </w:rPr>
        <w:t xml:space="preserve">z dnia 9 października 2015 r.              </w:t>
      </w:r>
      <w:r>
        <w:rPr>
          <w:rFonts w:cs="Calibri"/>
          <w:bCs/>
          <w:sz w:val="32"/>
          <w:szCs w:val="32"/>
        </w:rPr>
        <w:t xml:space="preserve">o rewitalizacji </w:t>
      </w:r>
    </w:p>
    <w:p w14:paraId="1BF28435" w14:textId="78CF47EF" w:rsidR="00BF4FFC" w:rsidRDefault="00BF4FFC">
      <w:pPr>
        <w:jc w:val="center"/>
      </w:pPr>
    </w:p>
    <w:p w14:paraId="41C69FC6" w14:textId="77777777" w:rsidR="00BF4FFC" w:rsidRDefault="00BF4FFC">
      <w:pPr>
        <w:pStyle w:val="Nagwek1"/>
      </w:pPr>
    </w:p>
    <w:p w14:paraId="587AB793" w14:textId="77777777" w:rsidR="00C26FFC" w:rsidRDefault="00C26FFC" w:rsidP="00A342CF">
      <w:pPr>
        <w:rPr>
          <w:rFonts w:cs="Calibri"/>
          <w:sz w:val="24"/>
          <w:szCs w:val="24"/>
        </w:rPr>
      </w:pPr>
      <w:bookmarkStart w:id="1" w:name="_Toc488271625"/>
      <w:bookmarkStart w:id="2" w:name="_Toc34753361"/>
    </w:p>
    <w:p w14:paraId="3ED045DE" w14:textId="77777777" w:rsidR="00C26FFC" w:rsidRDefault="00C26FFC" w:rsidP="001B6F6D">
      <w:pPr>
        <w:jc w:val="center"/>
        <w:rPr>
          <w:rFonts w:cs="Calibri"/>
          <w:sz w:val="24"/>
          <w:szCs w:val="24"/>
        </w:rPr>
      </w:pPr>
    </w:p>
    <w:p w14:paraId="631C1C76" w14:textId="29C831A6" w:rsidR="00C26FFC" w:rsidRDefault="00062F55" w:rsidP="001B6F6D">
      <w:pPr>
        <w:jc w:val="center"/>
        <w:rPr>
          <w:rFonts w:cs="Calibri"/>
          <w:sz w:val="24"/>
          <w:szCs w:val="24"/>
        </w:rPr>
      </w:pPr>
      <w:r>
        <w:rPr>
          <w:rFonts w:cs="Calibri"/>
          <w:noProof/>
          <w:sz w:val="24"/>
          <w:szCs w:val="24"/>
        </w:rPr>
        <w:drawing>
          <wp:inline distT="0" distB="0" distL="0" distR="0" wp14:anchorId="3198F38C" wp14:editId="75DE060F">
            <wp:extent cx="4997302" cy="1316447"/>
            <wp:effectExtent l="0" t="0" r="0" b="0"/>
            <wp:docPr id="20018000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1046" cy="1322702"/>
                    </a:xfrm>
                    <a:prstGeom prst="rect">
                      <a:avLst/>
                    </a:prstGeom>
                    <a:noFill/>
                    <a:ln>
                      <a:noFill/>
                    </a:ln>
                  </pic:spPr>
                </pic:pic>
              </a:graphicData>
            </a:graphic>
          </wp:inline>
        </w:drawing>
      </w:r>
    </w:p>
    <w:p w14:paraId="302E70F7" w14:textId="77777777" w:rsidR="001431B1" w:rsidRDefault="001431B1" w:rsidP="001B6F6D">
      <w:pPr>
        <w:jc w:val="center"/>
        <w:rPr>
          <w:rFonts w:cs="Calibri"/>
          <w:sz w:val="24"/>
          <w:szCs w:val="24"/>
        </w:rPr>
      </w:pPr>
    </w:p>
    <w:p w14:paraId="731096B7" w14:textId="77777777" w:rsidR="00C26FFC" w:rsidRDefault="00C26FFC" w:rsidP="001B6F6D">
      <w:pPr>
        <w:jc w:val="center"/>
        <w:rPr>
          <w:rFonts w:cs="Calibri"/>
          <w:sz w:val="24"/>
          <w:szCs w:val="24"/>
        </w:rPr>
      </w:pPr>
    </w:p>
    <w:p w14:paraId="79FE092E" w14:textId="77777777" w:rsidR="00C26FFC" w:rsidRDefault="00C26FFC" w:rsidP="001B6F6D">
      <w:pPr>
        <w:jc w:val="center"/>
        <w:rPr>
          <w:rFonts w:cs="Calibri"/>
          <w:sz w:val="24"/>
          <w:szCs w:val="24"/>
        </w:rPr>
      </w:pPr>
    </w:p>
    <w:p w14:paraId="216041B6" w14:textId="77777777" w:rsidR="00062F55" w:rsidRDefault="00062F55" w:rsidP="001B6F6D">
      <w:pPr>
        <w:jc w:val="center"/>
        <w:rPr>
          <w:rFonts w:cs="Calibri"/>
          <w:sz w:val="24"/>
          <w:szCs w:val="24"/>
        </w:rPr>
      </w:pPr>
    </w:p>
    <w:p w14:paraId="2F3CC835" w14:textId="77777777" w:rsidR="00062F55" w:rsidRDefault="00062F55" w:rsidP="001B6F6D">
      <w:pPr>
        <w:jc w:val="center"/>
        <w:rPr>
          <w:rFonts w:cs="Calibri"/>
          <w:sz w:val="24"/>
          <w:szCs w:val="24"/>
        </w:rPr>
      </w:pPr>
    </w:p>
    <w:p w14:paraId="6E6458F2" w14:textId="77777777" w:rsidR="00062F55" w:rsidRDefault="00062F55" w:rsidP="001B6F6D">
      <w:pPr>
        <w:jc w:val="center"/>
        <w:rPr>
          <w:rFonts w:cs="Calibri"/>
          <w:sz w:val="24"/>
          <w:szCs w:val="24"/>
        </w:rPr>
      </w:pPr>
    </w:p>
    <w:p w14:paraId="3FE28623" w14:textId="49BFBC45" w:rsidR="00B53EEA" w:rsidRPr="001B6F6D" w:rsidRDefault="00174C87" w:rsidP="001B6F6D">
      <w:pPr>
        <w:jc w:val="center"/>
        <w:rPr>
          <w:rFonts w:cs="Calibri"/>
          <w:sz w:val="24"/>
          <w:szCs w:val="24"/>
        </w:rPr>
      </w:pPr>
      <w:r>
        <w:rPr>
          <w:rFonts w:cs="Calibri"/>
          <w:sz w:val="24"/>
          <w:szCs w:val="24"/>
        </w:rPr>
        <w:t>Krośniewice</w:t>
      </w:r>
      <w:r w:rsidR="00A74E48">
        <w:rPr>
          <w:rFonts w:cs="Calibri"/>
          <w:sz w:val="24"/>
          <w:szCs w:val="24"/>
        </w:rPr>
        <w:t>,</w:t>
      </w:r>
      <w:r w:rsidR="009871AE" w:rsidRPr="00316797">
        <w:rPr>
          <w:rFonts w:cs="Calibri"/>
          <w:sz w:val="24"/>
          <w:szCs w:val="24"/>
        </w:rPr>
        <w:t xml:space="preserve"> </w:t>
      </w:r>
      <w:r>
        <w:rPr>
          <w:rFonts w:cs="Calibri"/>
          <w:sz w:val="24"/>
          <w:szCs w:val="24"/>
        </w:rPr>
        <w:t>styczeń</w:t>
      </w:r>
      <w:r w:rsidR="00A74E48">
        <w:rPr>
          <w:rFonts w:cs="Calibri"/>
          <w:sz w:val="24"/>
          <w:szCs w:val="24"/>
        </w:rPr>
        <w:t xml:space="preserve"> </w:t>
      </w:r>
      <w:r w:rsidR="009871AE" w:rsidRPr="00316797">
        <w:rPr>
          <w:rFonts w:cs="Calibri"/>
          <w:sz w:val="24"/>
          <w:szCs w:val="24"/>
        </w:rPr>
        <w:t>202</w:t>
      </w:r>
      <w:r>
        <w:rPr>
          <w:rFonts w:cs="Calibri"/>
          <w:sz w:val="24"/>
          <w:szCs w:val="24"/>
        </w:rPr>
        <w:t>6</w:t>
      </w:r>
      <w:r w:rsidR="009871AE" w:rsidRPr="00316797">
        <w:rPr>
          <w:rFonts w:cs="Calibri"/>
          <w:sz w:val="24"/>
          <w:szCs w:val="24"/>
        </w:rPr>
        <w:t xml:space="preserve"> r</w:t>
      </w:r>
    </w:p>
    <w:bookmarkStart w:id="3" w:name="_Toc208678883" w:displacedByCustomXml="next"/>
    <w:bookmarkStart w:id="4" w:name="_Toc218767036" w:displacedByCustomXml="next"/>
    <w:sdt>
      <w:sdtPr>
        <w:rPr>
          <w:rFonts w:ascii="Calibri" w:eastAsia="Calibri" w:hAnsi="Calibri"/>
          <w:b w:val="0"/>
          <w:sz w:val="22"/>
          <w:szCs w:val="22"/>
          <w:lang w:eastAsia="en-US"/>
        </w:rPr>
        <w:id w:val="1812604574"/>
        <w:docPartObj>
          <w:docPartGallery w:val="Table of Contents"/>
          <w:docPartUnique/>
        </w:docPartObj>
      </w:sdtPr>
      <w:sdtEndPr>
        <w:rPr>
          <w:bCs/>
        </w:rPr>
      </w:sdtEndPr>
      <w:sdtContent>
        <w:p w14:paraId="2CA18D0A" w14:textId="77777777" w:rsidR="00F02597" w:rsidRPr="00673E76" w:rsidRDefault="00F02597" w:rsidP="002E16DF">
          <w:pPr>
            <w:pStyle w:val="Nagwekspisutreci"/>
            <w:rPr>
              <w:rFonts w:ascii="Calibri" w:eastAsia="Calibri" w:hAnsi="Calibri"/>
              <w:b w:val="0"/>
              <w:sz w:val="2"/>
              <w:szCs w:val="2"/>
              <w:lang w:eastAsia="en-US"/>
            </w:rPr>
          </w:pPr>
        </w:p>
        <w:p w14:paraId="00273E02" w14:textId="77777777" w:rsidR="00673E76" w:rsidRDefault="00E17CAC" w:rsidP="002E16DF">
          <w:pPr>
            <w:pStyle w:val="Nagwekspisutreci"/>
            <w:rPr>
              <w:noProof/>
            </w:rPr>
          </w:pPr>
          <w:bookmarkStart w:id="5" w:name="_Toc219271381"/>
          <w:r w:rsidRPr="002E16DF">
            <w:rPr>
              <w:rFonts w:asciiTheme="minorHAnsi" w:hAnsiTheme="minorHAnsi" w:cstheme="minorHAnsi"/>
            </w:rPr>
            <w:t>Spis treści</w:t>
          </w:r>
          <w:bookmarkEnd w:id="5"/>
          <w:bookmarkEnd w:id="4"/>
          <w:bookmarkEnd w:id="3"/>
          <w:r w:rsidRPr="00CB7C2D">
            <w:rPr>
              <w:b w:val="0"/>
              <w:bCs/>
            </w:rPr>
            <w:fldChar w:fldCharType="begin"/>
          </w:r>
          <w:r w:rsidRPr="00CB7C2D">
            <w:rPr>
              <w:b w:val="0"/>
              <w:bCs/>
            </w:rPr>
            <w:instrText xml:space="preserve"> TOC \o "1-3" \h \z \u </w:instrText>
          </w:r>
          <w:r w:rsidRPr="00CB7C2D">
            <w:rPr>
              <w:b w:val="0"/>
              <w:bCs/>
            </w:rPr>
            <w:fldChar w:fldCharType="separate"/>
          </w:r>
        </w:p>
        <w:p w14:paraId="377FDDC3" w14:textId="6C417BFB" w:rsidR="00673E76" w:rsidRDefault="00673E76">
          <w:pPr>
            <w:pStyle w:val="Spistreci1"/>
            <w:rPr>
              <w:rFonts w:asciiTheme="minorHAnsi" w:eastAsiaTheme="minorEastAsia" w:hAnsiTheme="minorHAnsi" w:cstheme="minorBidi"/>
              <w:b w:val="0"/>
              <w:noProof/>
              <w:kern w:val="2"/>
              <w:lang w:eastAsia="pl-PL"/>
              <w14:ligatures w14:val="standardContextual"/>
            </w:rPr>
          </w:pPr>
          <w:hyperlink w:anchor="_Toc219271382" w:history="1">
            <w:r w:rsidRPr="002B0D12">
              <w:rPr>
                <w:rStyle w:val="Hipercze"/>
                <w:bCs/>
                <w:noProof/>
              </w:rPr>
              <w:t>Rozdział I. Synteza ustaleń diagnozy</w:t>
            </w:r>
            <w:r>
              <w:rPr>
                <w:noProof/>
                <w:webHidden/>
              </w:rPr>
              <w:tab/>
            </w:r>
            <w:r>
              <w:rPr>
                <w:noProof/>
                <w:webHidden/>
              </w:rPr>
              <w:fldChar w:fldCharType="begin"/>
            </w:r>
            <w:r>
              <w:rPr>
                <w:noProof/>
                <w:webHidden/>
              </w:rPr>
              <w:instrText xml:space="preserve"> PAGEREF _Toc219271382 \h </w:instrText>
            </w:r>
            <w:r>
              <w:rPr>
                <w:noProof/>
                <w:webHidden/>
              </w:rPr>
            </w:r>
            <w:r>
              <w:rPr>
                <w:noProof/>
                <w:webHidden/>
              </w:rPr>
              <w:fldChar w:fldCharType="separate"/>
            </w:r>
            <w:r w:rsidR="001328FC">
              <w:rPr>
                <w:noProof/>
                <w:webHidden/>
              </w:rPr>
              <w:t>3</w:t>
            </w:r>
            <w:r>
              <w:rPr>
                <w:noProof/>
                <w:webHidden/>
              </w:rPr>
              <w:fldChar w:fldCharType="end"/>
            </w:r>
          </w:hyperlink>
        </w:p>
        <w:p w14:paraId="3F6B5157" w14:textId="173CBACF" w:rsidR="00673E76" w:rsidRDefault="00673E76">
          <w:pPr>
            <w:pStyle w:val="Spistreci1"/>
            <w:rPr>
              <w:rFonts w:asciiTheme="minorHAnsi" w:eastAsiaTheme="minorEastAsia" w:hAnsiTheme="minorHAnsi" w:cstheme="minorBidi"/>
              <w:b w:val="0"/>
              <w:noProof/>
              <w:kern w:val="2"/>
              <w:lang w:eastAsia="pl-PL"/>
              <w14:ligatures w14:val="standardContextual"/>
            </w:rPr>
          </w:pPr>
          <w:hyperlink w:anchor="_Toc219271383" w:history="1">
            <w:r w:rsidRPr="002B0D12">
              <w:rPr>
                <w:rStyle w:val="Hipercze"/>
                <w:noProof/>
              </w:rPr>
              <w:t>Rozdział II. Mechanizmy włączenia mieszkańców w proces diagnostyczny</w:t>
            </w:r>
            <w:r>
              <w:rPr>
                <w:noProof/>
                <w:webHidden/>
              </w:rPr>
              <w:tab/>
            </w:r>
            <w:r>
              <w:rPr>
                <w:noProof/>
                <w:webHidden/>
              </w:rPr>
              <w:fldChar w:fldCharType="begin"/>
            </w:r>
            <w:r>
              <w:rPr>
                <w:noProof/>
                <w:webHidden/>
              </w:rPr>
              <w:instrText xml:space="preserve"> PAGEREF _Toc219271383 \h </w:instrText>
            </w:r>
            <w:r>
              <w:rPr>
                <w:noProof/>
                <w:webHidden/>
              </w:rPr>
            </w:r>
            <w:r>
              <w:rPr>
                <w:noProof/>
                <w:webHidden/>
              </w:rPr>
              <w:fldChar w:fldCharType="separate"/>
            </w:r>
            <w:r w:rsidR="001328FC">
              <w:rPr>
                <w:noProof/>
                <w:webHidden/>
              </w:rPr>
              <w:t>6</w:t>
            </w:r>
            <w:r>
              <w:rPr>
                <w:noProof/>
                <w:webHidden/>
              </w:rPr>
              <w:fldChar w:fldCharType="end"/>
            </w:r>
          </w:hyperlink>
        </w:p>
        <w:p w14:paraId="131C45BC" w14:textId="50F4050C" w:rsidR="00673E76" w:rsidRDefault="00673E76">
          <w:pPr>
            <w:pStyle w:val="Spistreci1"/>
            <w:rPr>
              <w:rFonts w:asciiTheme="minorHAnsi" w:eastAsiaTheme="minorEastAsia" w:hAnsiTheme="minorHAnsi" w:cstheme="minorBidi"/>
              <w:b w:val="0"/>
              <w:noProof/>
              <w:kern w:val="2"/>
              <w:lang w:eastAsia="pl-PL"/>
              <w14:ligatures w14:val="standardContextual"/>
            </w:rPr>
          </w:pPr>
          <w:hyperlink w:anchor="_Toc219271384" w:history="1">
            <w:r w:rsidRPr="002B0D12">
              <w:rPr>
                <w:rStyle w:val="Hipercze"/>
                <w:noProof/>
              </w:rPr>
              <w:t>Rozdział III. Opis działań diagnostycznych</w:t>
            </w:r>
            <w:r>
              <w:rPr>
                <w:noProof/>
                <w:webHidden/>
              </w:rPr>
              <w:tab/>
            </w:r>
            <w:r>
              <w:rPr>
                <w:noProof/>
                <w:webHidden/>
              </w:rPr>
              <w:fldChar w:fldCharType="begin"/>
            </w:r>
            <w:r>
              <w:rPr>
                <w:noProof/>
                <w:webHidden/>
              </w:rPr>
              <w:instrText xml:space="preserve"> PAGEREF _Toc219271384 \h </w:instrText>
            </w:r>
            <w:r>
              <w:rPr>
                <w:noProof/>
                <w:webHidden/>
              </w:rPr>
            </w:r>
            <w:r>
              <w:rPr>
                <w:noProof/>
                <w:webHidden/>
              </w:rPr>
              <w:fldChar w:fldCharType="separate"/>
            </w:r>
            <w:r w:rsidR="001328FC">
              <w:rPr>
                <w:noProof/>
                <w:webHidden/>
              </w:rPr>
              <w:t>8</w:t>
            </w:r>
            <w:r>
              <w:rPr>
                <w:noProof/>
                <w:webHidden/>
              </w:rPr>
              <w:fldChar w:fldCharType="end"/>
            </w:r>
          </w:hyperlink>
        </w:p>
        <w:p w14:paraId="3EABE994" w14:textId="0CE0E1E3" w:rsidR="00673E76" w:rsidRDefault="00673E76">
          <w:pPr>
            <w:pStyle w:val="Spistreci2"/>
            <w:rPr>
              <w:rFonts w:asciiTheme="minorHAnsi" w:eastAsiaTheme="minorEastAsia" w:hAnsiTheme="minorHAnsi" w:cstheme="minorBidi"/>
              <w:noProof/>
              <w:kern w:val="2"/>
              <w:sz w:val="24"/>
              <w:szCs w:val="24"/>
              <w:lang w:eastAsia="pl-PL"/>
              <w14:ligatures w14:val="standardContextual"/>
            </w:rPr>
          </w:pPr>
          <w:hyperlink w:anchor="_Toc219271385" w:history="1">
            <w:r w:rsidRPr="002B0D12">
              <w:rPr>
                <w:rStyle w:val="Hipercze"/>
                <w:noProof/>
              </w:rPr>
              <w:t>Uproszczona diagnoza Gminy Krośniewice</w:t>
            </w:r>
            <w:r>
              <w:rPr>
                <w:noProof/>
                <w:webHidden/>
              </w:rPr>
              <w:tab/>
            </w:r>
            <w:r>
              <w:rPr>
                <w:noProof/>
                <w:webHidden/>
              </w:rPr>
              <w:fldChar w:fldCharType="begin"/>
            </w:r>
            <w:r>
              <w:rPr>
                <w:noProof/>
                <w:webHidden/>
              </w:rPr>
              <w:instrText xml:space="preserve"> PAGEREF _Toc219271385 \h </w:instrText>
            </w:r>
            <w:r>
              <w:rPr>
                <w:noProof/>
                <w:webHidden/>
              </w:rPr>
            </w:r>
            <w:r>
              <w:rPr>
                <w:noProof/>
                <w:webHidden/>
              </w:rPr>
              <w:fldChar w:fldCharType="separate"/>
            </w:r>
            <w:r w:rsidR="001328FC">
              <w:rPr>
                <w:noProof/>
                <w:webHidden/>
              </w:rPr>
              <w:t>9</w:t>
            </w:r>
            <w:r>
              <w:rPr>
                <w:noProof/>
                <w:webHidden/>
              </w:rPr>
              <w:fldChar w:fldCharType="end"/>
            </w:r>
          </w:hyperlink>
        </w:p>
        <w:p w14:paraId="642CBA04" w14:textId="6B1DFD70" w:rsidR="00673E76" w:rsidRDefault="00673E76">
          <w:pPr>
            <w:pStyle w:val="Spistreci2"/>
            <w:rPr>
              <w:rFonts w:asciiTheme="minorHAnsi" w:eastAsiaTheme="minorEastAsia" w:hAnsiTheme="minorHAnsi" w:cstheme="minorBidi"/>
              <w:noProof/>
              <w:kern w:val="2"/>
              <w:sz w:val="24"/>
              <w:szCs w:val="24"/>
              <w:lang w:eastAsia="pl-PL"/>
              <w14:ligatures w14:val="standardContextual"/>
            </w:rPr>
          </w:pPr>
          <w:hyperlink w:anchor="_Toc219271386" w:history="1">
            <w:r w:rsidRPr="002B0D12">
              <w:rPr>
                <w:rStyle w:val="Hipercze"/>
                <w:noProof/>
              </w:rPr>
              <w:t>Metodologia wyznaczania obszarów kryzysowych</w:t>
            </w:r>
            <w:r>
              <w:rPr>
                <w:noProof/>
                <w:webHidden/>
              </w:rPr>
              <w:tab/>
            </w:r>
            <w:r>
              <w:rPr>
                <w:noProof/>
                <w:webHidden/>
              </w:rPr>
              <w:fldChar w:fldCharType="begin"/>
            </w:r>
            <w:r>
              <w:rPr>
                <w:noProof/>
                <w:webHidden/>
              </w:rPr>
              <w:instrText xml:space="preserve"> PAGEREF _Toc219271386 \h </w:instrText>
            </w:r>
            <w:r>
              <w:rPr>
                <w:noProof/>
                <w:webHidden/>
              </w:rPr>
            </w:r>
            <w:r>
              <w:rPr>
                <w:noProof/>
                <w:webHidden/>
              </w:rPr>
              <w:fldChar w:fldCharType="separate"/>
            </w:r>
            <w:r w:rsidR="001328FC">
              <w:rPr>
                <w:noProof/>
                <w:webHidden/>
              </w:rPr>
              <w:t>14</w:t>
            </w:r>
            <w:r>
              <w:rPr>
                <w:noProof/>
                <w:webHidden/>
              </w:rPr>
              <w:fldChar w:fldCharType="end"/>
            </w:r>
          </w:hyperlink>
        </w:p>
        <w:p w14:paraId="22E910D5" w14:textId="5F000C70" w:rsidR="00673E76" w:rsidRDefault="00673E76">
          <w:pPr>
            <w:pStyle w:val="Spistreci2"/>
            <w:rPr>
              <w:rFonts w:asciiTheme="minorHAnsi" w:eastAsiaTheme="minorEastAsia" w:hAnsiTheme="minorHAnsi" w:cstheme="minorBidi"/>
              <w:noProof/>
              <w:kern w:val="2"/>
              <w:sz w:val="24"/>
              <w:szCs w:val="24"/>
              <w:lang w:eastAsia="pl-PL"/>
              <w14:ligatures w14:val="standardContextual"/>
            </w:rPr>
          </w:pPr>
          <w:hyperlink w:anchor="_Toc219271387" w:history="1">
            <w:r w:rsidRPr="002B0D12">
              <w:rPr>
                <w:rStyle w:val="Hipercze"/>
                <w:noProof/>
              </w:rPr>
              <w:t>Analiza uwarunkowań społecznych</w:t>
            </w:r>
            <w:r>
              <w:rPr>
                <w:noProof/>
                <w:webHidden/>
              </w:rPr>
              <w:tab/>
            </w:r>
            <w:r>
              <w:rPr>
                <w:noProof/>
                <w:webHidden/>
              </w:rPr>
              <w:fldChar w:fldCharType="begin"/>
            </w:r>
            <w:r>
              <w:rPr>
                <w:noProof/>
                <w:webHidden/>
              </w:rPr>
              <w:instrText xml:space="preserve"> PAGEREF _Toc219271387 \h </w:instrText>
            </w:r>
            <w:r>
              <w:rPr>
                <w:noProof/>
                <w:webHidden/>
              </w:rPr>
            </w:r>
            <w:r>
              <w:rPr>
                <w:noProof/>
                <w:webHidden/>
              </w:rPr>
              <w:fldChar w:fldCharType="separate"/>
            </w:r>
            <w:r w:rsidR="001328FC">
              <w:rPr>
                <w:noProof/>
                <w:webHidden/>
              </w:rPr>
              <w:t>21</w:t>
            </w:r>
            <w:r>
              <w:rPr>
                <w:noProof/>
                <w:webHidden/>
              </w:rPr>
              <w:fldChar w:fldCharType="end"/>
            </w:r>
          </w:hyperlink>
        </w:p>
        <w:p w14:paraId="62378C00" w14:textId="70464229" w:rsidR="00673E76" w:rsidRDefault="00673E76">
          <w:pPr>
            <w:pStyle w:val="Spistreci2"/>
            <w:rPr>
              <w:rFonts w:asciiTheme="minorHAnsi" w:eastAsiaTheme="minorEastAsia" w:hAnsiTheme="minorHAnsi" w:cstheme="minorBidi"/>
              <w:noProof/>
              <w:kern w:val="2"/>
              <w:sz w:val="24"/>
              <w:szCs w:val="24"/>
              <w:lang w:eastAsia="pl-PL"/>
              <w14:ligatures w14:val="standardContextual"/>
            </w:rPr>
          </w:pPr>
          <w:hyperlink w:anchor="_Toc219271388" w:history="1">
            <w:r w:rsidRPr="002B0D12">
              <w:rPr>
                <w:rStyle w:val="Hipercze"/>
                <w:noProof/>
              </w:rPr>
              <w:t>Analiza uwarunkowań gospodarczych</w:t>
            </w:r>
            <w:r>
              <w:rPr>
                <w:noProof/>
                <w:webHidden/>
              </w:rPr>
              <w:tab/>
            </w:r>
            <w:r>
              <w:rPr>
                <w:noProof/>
                <w:webHidden/>
              </w:rPr>
              <w:fldChar w:fldCharType="begin"/>
            </w:r>
            <w:r>
              <w:rPr>
                <w:noProof/>
                <w:webHidden/>
              </w:rPr>
              <w:instrText xml:space="preserve"> PAGEREF _Toc219271388 \h </w:instrText>
            </w:r>
            <w:r>
              <w:rPr>
                <w:noProof/>
                <w:webHidden/>
              </w:rPr>
            </w:r>
            <w:r>
              <w:rPr>
                <w:noProof/>
                <w:webHidden/>
              </w:rPr>
              <w:fldChar w:fldCharType="separate"/>
            </w:r>
            <w:r w:rsidR="001328FC">
              <w:rPr>
                <w:noProof/>
                <w:webHidden/>
              </w:rPr>
              <w:t>32</w:t>
            </w:r>
            <w:r>
              <w:rPr>
                <w:noProof/>
                <w:webHidden/>
              </w:rPr>
              <w:fldChar w:fldCharType="end"/>
            </w:r>
          </w:hyperlink>
        </w:p>
        <w:p w14:paraId="0802C6ED" w14:textId="0805C645" w:rsidR="00673E76" w:rsidRDefault="00673E76">
          <w:pPr>
            <w:pStyle w:val="Spistreci2"/>
            <w:rPr>
              <w:rFonts w:asciiTheme="minorHAnsi" w:eastAsiaTheme="minorEastAsia" w:hAnsiTheme="minorHAnsi" w:cstheme="minorBidi"/>
              <w:noProof/>
              <w:kern w:val="2"/>
              <w:sz w:val="24"/>
              <w:szCs w:val="24"/>
              <w:lang w:eastAsia="pl-PL"/>
              <w14:ligatures w14:val="standardContextual"/>
            </w:rPr>
          </w:pPr>
          <w:hyperlink w:anchor="_Toc219271389" w:history="1">
            <w:r w:rsidRPr="002B0D12">
              <w:rPr>
                <w:rStyle w:val="Hipercze"/>
                <w:noProof/>
              </w:rPr>
              <w:t>Analiza uwarunkowań środowiskowych</w:t>
            </w:r>
            <w:r>
              <w:rPr>
                <w:noProof/>
                <w:webHidden/>
              </w:rPr>
              <w:tab/>
            </w:r>
            <w:r>
              <w:rPr>
                <w:noProof/>
                <w:webHidden/>
              </w:rPr>
              <w:fldChar w:fldCharType="begin"/>
            </w:r>
            <w:r>
              <w:rPr>
                <w:noProof/>
                <w:webHidden/>
              </w:rPr>
              <w:instrText xml:space="preserve"> PAGEREF _Toc219271389 \h </w:instrText>
            </w:r>
            <w:r>
              <w:rPr>
                <w:noProof/>
                <w:webHidden/>
              </w:rPr>
            </w:r>
            <w:r>
              <w:rPr>
                <w:noProof/>
                <w:webHidden/>
              </w:rPr>
              <w:fldChar w:fldCharType="separate"/>
            </w:r>
            <w:r w:rsidR="001328FC">
              <w:rPr>
                <w:noProof/>
                <w:webHidden/>
              </w:rPr>
              <w:t>36</w:t>
            </w:r>
            <w:r>
              <w:rPr>
                <w:noProof/>
                <w:webHidden/>
              </w:rPr>
              <w:fldChar w:fldCharType="end"/>
            </w:r>
          </w:hyperlink>
        </w:p>
        <w:p w14:paraId="6D962D4A" w14:textId="281199E7" w:rsidR="00673E76" w:rsidRDefault="00673E76">
          <w:pPr>
            <w:pStyle w:val="Spistreci2"/>
            <w:rPr>
              <w:rFonts w:asciiTheme="minorHAnsi" w:eastAsiaTheme="minorEastAsia" w:hAnsiTheme="minorHAnsi" w:cstheme="minorBidi"/>
              <w:noProof/>
              <w:kern w:val="2"/>
              <w:sz w:val="24"/>
              <w:szCs w:val="24"/>
              <w:lang w:eastAsia="pl-PL"/>
              <w14:ligatures w14:val="standardContextual"/>
            </w:rPr>
          </w:pPr>
          <w:hyperlink w:anchor="_Toc219271390" w:history="1">
            <w:r w:rsidRPr="002B0D12">
              <w:rPr>
                <w:rStyle w:val="Hipercze"/>
                <w:noProof/>
              </w:rPr>
              <w:t>Analiza uwarunkowań przestrzenno-funkcjonalno-technicznych</w:t>
            </w:r>
            <w:r>
              <w:rPr>
                <w:noProof/>
                <w:webHidden/>
              </w:rPr>
              <w:tab/>
            </w:r>
            <w:r>
              <w:rPr>
                <w:noProof/>
                <w:webHidden/>
              </w:rPr>
              <w:fldChar w:fldCharType="begin"/>
            </w:r>
            <w:r>
              <w:rPr>
                <w:noProof/>
                <w:webHidden/>
              </w:rPr>
              <w:instrText xml:space="preserve"> PAGEREF _Toc219271390 \h </w:instrText>
            </w:r>
            <w:r>
              <w:rPr>
                <w:noProof/>
                <w:webHidden/>
              </w:rPr>
            </w:r>
            <w:r>
              <w:rPr>
                <w:noProof/>
                <w:webHidden/>
              </w:rPr>
              <w:fldChar w:fldCharType="separate"/>
            </w:r>
            <w:r w:rsidR="001328FC">
              <w:rPr>
                <w:noProof/>
                <w:webHidden/>
              </w:rPr>
              <w:t>41</w:t>
            </w:r>
            <w:r>
              <w:rPr>
                <w:noProof/>
                <w:webHidden/>
              </w:rPr>
              <w:fldChar w:fldCharType="end"/>
            </w:r>
          </w:hyperlink>
        </w:p>
        <w:p w14:paraId="35545CC1" w14:textId="1EA50502" w:rsidR="00673E76" w:rsidRDefault="00673E76">
          <w:pPr>
            <w:pStyle w:val="Spistreci1"/>
            <w:rPr>
              <w:rFonts w:asciiTheme="minorHAnsi" w:eastAsiaTheme="minorEastAsia" w:hAnsiTheme="minorHAnsi" w:cstheme="minorBidi"/>
              <w:b w:val="0"/>
              <w:noProof/>
              <w:kern w:val="2"/>
              <w:lang w:eastAsia="pl-PL"/>
              <w14:ligatures w14:val="standardContextual"/>
            </w:rPr>
          </w:pPr>
          <w:hyperlink w:anchor="_Toc219271391" w:history="1">
            <w:r w:rsidRPr="002B0D12">
              <w:rPr>
                <w:rStyle w:val="Hipercze"/>
                <w:noProof/>
              </w:rPr>
              <w:t>Rozdział  IV. Wybór obszaru zdegradowanego i obszaru rewitalizacji</w:t>
            </w:r>
            <w:r>
              <w:rPr>
                <w:noProof/>
                <w:webHidden/>
              </w:rPr>
              <w:tab/>
            </w:r>
            <w:r>
              <w:rPr>
                <w:noProof/>
                <w:webHidden/>
              </w:rPr>
              <w:fldChar w:fldCharType="begin"/>
            </w:r>
            <w:r>
              <w:rPr>
                <w:noProof/>
                <w:webHidden/>
              </w:rPr>
              <w:instrText xml:space="preserve"> PAGEREF _Toc219271391 \h </w:instrText>
            </w:r>
            <w:r>
              <w:rPr>
                <w:noProof/>
                <w:webHidden/>
              </w:rPr>
            </w:r>
            <w:r>
              <w:rPr>
                <w:noProof/>
                <w:webHidden/>
              </w:rPr>
              <w:fldChar w:fldCharType="separate"/>
            </w:r>
            <w:r w:rsidR="001328FC">
              <w:rPr>
                <w:noProof/>
                <w:webHidden/>
              </w:rPr>
              <w:t>49</w:t>
            </w:r>
            <w:r>
              <w:rPr>
                <w:noProof/>
                <w:webHidden/>
              </w:rPr>
              <w:fldChar w:fldCharType="end"/>
            </w:r>
          </w:hyperlink>
        </w:p>
        <w:p w14:paraId="00772F1C" w14:textId="7F87C199" w:rsidR="00673E76" w:rsidRDefault="00673E76">
          <w:pPr>
            <w:pStyle w:val="Spistreci2"/>
            <w:rPr>
              <w:rFonts w:asciiTheme="minorHAnsi" w:eastAsiaTheme="minorEastAsia" w:hAnsiTheme="minorHAnsi" w:cstheme="minorBidi"/>
              <w:noProof/>
              <w:kern w:val="2"/>
              <w:sz w:val="24"/>
              <w:szCs w:val="24"/>
              <w:lang w:eastAsia="pl-PL"/>
              <w14:ligatures w14:val="standardContextual"/>
            </w:rPr>
          </w:pPr>
          <w:hyperlink w:anchor="_Toc219271392" w:history="1">
            <w:r w:rsidRPr="002B0D12">
              <w:rPr>
                <w:rStyle w:val="Hipercze"/>
                <w:noProof/>
              </w:rPr>
              <w:t>Wprowadzenie</w:t>
            </w:r>
            <w:r>
              <w:rPr>
                <w:noProof/>
                <w:webHidden/>
              </w:rPr>
              <w:tab/>
            </w:r>
            <w:r>
              <w:rPr>
                <w:noProof/>
                <w:webHidden/>
              </w:rPr>
              <w:fldChar w:fldCharType="begin"/>
            </w:r>
            <w:r>
              <w:rPr>
                <w:noProof/>
                <w:webHidden/>
              </w:rPr>
              <w:instrText xml:space="preserve"> PAGEREF _Toc219271392 \h </w:instrText>
            </w:r>
            <w:r>
              <w:rPr>
                <w:noProof/>
                <w:webHidden/>
              </w:rPr>
            </w:r>
            <w:r>
              <w:rPr>
                <w:noProof/>
                <w:webHidden/>
              </w:rPr>
              <w:fldChar w:fldCharType="separate"/>
            </w:r>
            <w:r w:rsidR="001328FC">
              <w:rPr>
                <w:noProof/>
                <w:webHidden/>
              </w:rPr>
              <w:t>49</w:t>
            </w:r>
            <w:r>
              <w:rPr>
                <w:noProof/>
                <w:webHidden/>
              </w:rPr>
              <w:fldChar w:fldCharType="end"/>
            </w:r>
          </w:hyperlink>
        </w:p>
        <w:p w14:paraId="7756F439" w14:textId="254BC06C" w:rsidR="00673E76" w:rsidRDefault="00673E76">
          <w:pPr>
            <w:pStyle w:val="Spistreci2"/>
            <w:rPr>
              <w:rFonts w:asciiTheme="minorHAnsi" w:eastAsiaTheme="minorEastAsia" w:hAnsiTheme="minorHAnsi" w:cstheme="minorBidi"/>
              <w:noProof/>
              <w:kern w:val="2"/>
              <w:sz w:val="24"/>
              <w:szCs w:val="24"/>
              <w:lang w:eastAsia="pl-PL"/>
              <w14:ligatures w14:val="standardContextual"/>
            </w:rPr>
          </w:pPr>
          <w:hyperlink w:anchor="_Toc219271393" w:history="1">
            <w:r w:rsidRPr="002B0D12">
              <w:rPr>
                <w:rStyle w:val="Hipercze"/>
                <w:noProof/>
              </w:rPr>
              <w:t>Wyznaczenie obszaru zdegradowanego i obszaru rewitalizacji</w:t>
            </w:r>
            <w:r>
              <w:rPr>
                <w:noProof/>
                <w:webHidden/>
              </w:rPr>
              <w:tab/>
            </w:r>
            <w:r>
              <w:rPr>
                <w:noProof/>
                <w:webHidden/>
              </w:rPr>
              <w:fldChar w:fldCharType="begin"/>
            </w:r>
            <w:r>
              <w:rPr>
                <w:noProof/>
                <w:webHidden/>
              </w:rPr>
              <w:instrText xml:space="preserve"> PAGEREF _Toc219271393 \h </w:instrText>
            </w:r>
            <w:r>
              <w:rPr>
                <w:noProof/>
                <w:webHidden/>
              </w:rPr>
            </w:r>
            <w:r>
              <w:rPr>
                <w:noProof/>
                <w:webHidden/>
              </w:rPr>
              <w:fldChar w:fldCharType="separate"/>
            </w:r>
            <w:r w:rsidR="001328FC">
              <w:rPr>
                <w:noProof/>
                <w:webHidden/>
              </w:rPr>
              <w:t>51</w:t>
            </w:r>
            <w:r>
              <w:rPr>
                <w:noProof/>
                <w:webHidden/>
              </w:rPr>
              <w:fldChar w:fldCharType="end"/>
            </w:r>
          </w:hyperlink>
        </w:p>
        <w:p w14:paraId="5DE4319B" w14:textId="370C6805" w:rsidR="00673E76" w:rsidRDefault="00673E76">
          <w:pPr>
            <w:pStyle w:val="Spistreci1"/>
            <w:rPr>
              <w:rFonts w:asciiTheme="minorHAnsi" w:eastAsiaTheme="minorEastAsia" w:hAnsiTheme="minorHAnsi" w:cstheme="minorBidi"/>
              <w:b w:val="0"/>
              <w:noProof/>
              <w:kern w:val="2"/>
              <w:lang w:eastAsia="pl-PL"/>
              <w14:ligatures w14:val="standardContextual"/>
            </w:rPr>
          </w:pPr>
          <w:hyperlink w:anchor="_Toc219271394" w:history="1">
            <w:r w:rsidRPr="002B0D12">
              <w:rPr>
                <w:rStyle w:val="Hipercze"/>
                <w:noProof/>
              </w:rPr>
              <w:t>Rozdział V. Rekomendacje dla uchwały Rady Miejskiej o wyznaczeniu obszaru zdegradowanego i obszaru rewitalizacji</w:t>
            </w:r>
            <w:r>
              <w:rPr>
                <w:noProof/>
                <w:webHidden/>
              </w:rPr>
              <w:tab/>
            </w:r>
            <w:r>
              <w:rPr>
                <w:noProof/>
                <w:webHidden/>
              </w:rPr>
              <w:fldChar w:fldCharType="begin"/>
            </w:r>
            <w:r>
              <w:rPr>
                <w:noProof/>
                <w:webHidden/>
              </w:rPr>
              <w:instrText xml:space="preserve"> PAGEREF _Toc219271394 \h </w:instrText>
            </w:r>
            <w:r>
              <w:rPr>
                <w:noProof/>
                <w:webHidden/>
              </w:rPr>
            </w:r>
            <w:r>
              <w:rPr>
                <w:noProof/>
                <w:webHidden/>
              </w:rPr>
              <w:fldChar w:fldCharType="separate"/>
            </w:r>
            <w:r w:rsidR="001328FC">
              <w:rPr>
                <w:noProof/>
                <w:webHidden/>
              </w:rPr>
              <w:t>54</w:t>
            </w:r>
            <w:r>
              <w:rPr>
                <w:noProof/>
                <w:webHidden/>
              </w:rPr>
              <w:fldChar w:fldCharType="end"/>
            </w:r>
          </w:hyperlink>
        </w:p>
        <w:p w14:paraId="164FF947" w14:textId="693ECAA5" w:rsidR="00673E76" w:rsidRDefault="00673E76">
          <w:pPr>
            <w:pStyle w:val="Spistreci2"/>
            <w:rPr>
              <w:rFonts w:asciiTheme="minorHAnsi" w:eastAsiaTheme="minorEastAsia" w:hAnsiTheme="minorHAnsi" w:cstheme="minorBidi"/>
              <w:noProof/>
              <w:kern w:val="2"/>
              <w:sz w:val="24"/>
              <w:szCs w:val="24"/>
              <w:lang w:eastAsia="pl-PL"/>
              <w14:ligatures w14:val="standardContextual"/>
            </w:rPr>
          </w:pPr>
          <w:hyperlink w:anchor="_Toc219271395" w:history="1">
            <w:r w:rsidRPr="002B0D12">
              <w:rPr>
                <w:rStyle w:val="Hipercze"/>
                <w:noProof/>
              </w:rPr>
              <w:t>Spis ilustracji</w:t>
            </w:r>
            <w:r>
              <w:rPr>
                <w:noProof/>
                <w:webHidden/>
              </w:rPr>
              <w:tab/>
            </w:r>
            <w:r>
              <w:rPr>
                <w:noProof/>
                <w:webHidden/>
              </w:rPr>
              <w:fldChar w:fldCharType="begin"/>
            </w:r>
            <w:r>
              <w:rPr>
                <w:noProof/>
                <w:webHidden/>
              </w:rPr>
              <w:instrText xml:space="preserve"> PAGEREF _Toc219271395 \h </w:instrText>
            </w:r>
            <w:r>
              <w:rPr>
                <w:noProof/>
                <w:webHidden/>
              </w:rPr>
            </w:r>
            <w:r>
              <w:rPr>
                <w:noProof/>
                <w:webHidden/>
              </w:rPr>
              <w:fldChar w:fldCharType="separate"/>
            </w:r>
            <w:r w:rsidR="001328FC">
              <w:rPr>
                <w:noProof/>
                <w:webHidden/>
              </w:rPr>
              <w:t>55</w:t>
            </w:r>
            <w:r>
              <w:rPr>
                <w:noProof/>
                <w:webHidden/>
              </w:rPr>
              <w:fldChar w:fldCharType="end"/>
            </w:r>
          </w:hyperlink>
        </w:p>
        <w:p w14:paraId="164B3184" w14:textId="65AB2EAB" w:rsidR="00E17CAC" w:rsidRDefault="00E17CAC">
          <w:r w:rsidRPr="00CB7C2D">
            <w:rPr>
              <w:bCs/>
            </w:rPr>
            <w:fldChar w:fldCharType="end"/>
          </w:r>
        </w:p>
      </w:sdtContent>
    </w:sdt>
    <w:p w14:paraId="39F236F2" w14:textId="77777777" w:rsidR="00BF4FFC" w:rsidRDefault="00BF4FFC">
      <w:pPr>
        <w:pageBreakBefore/>
        <w:rPr>
          <w:sz w:val="2"/>
          <w:szCs w:val="2"/>
        </w:rPr>
      </w:pPr>
    </w:p>
    <w:p w14:paraId="1C32C5F2" w14:textId="77777777" w:rsidR="00BF4FFC" w:rsidRDefault="009871AE">
      <w:pPr>
        <w:pStyle w:val="Nagwek1"/>
        <w:spacing w:before="0"/>
      </w:pPr>
      <w:bookmarkStart w:id="6" w:name="_Toc59918605"/>
      <w:bookmarkStart w:id="7" w:name="_Toc67307371"/>
      <w:bookmarkStart w:id="8" w:name="_Toc67310274"/>
      <w:bookmarkStart w:id="9" w:name="_Toc97015002"/>
      <w:bookmarkStart w:id="10" w:name="_Toc97100735"/>
      <w:bookmarkStart w:id="11" w:name="_Toc97364976"/>
      <w:bookmarkStart w:id="12" w:name="_Toc97365022"/>
      <w:bookmarkStart w:id="13" w:name="_Toc108591667"/>
      <w:bookmarkStart w:id="14" w:name="_Toc108592679"/>
      <w:bookmarkStart w:id="15" w:name="_Toc108592744"/>
      <w:bookmarkStart w:id="16" w:name="_Toc133584130"/>
      <w:bookmarkStart w:id="17" w:name="_Toc138666204"/>
      <w:bookmarkStart w:id="18" w:name="_Toc219271382"/>
      <w:r>
        <w:rPr>
          <w:rStyle w:val="Nagwek1Znak"/>
          <w:rFonts w:ascii="Calibri" w:eastAsia="Calibri" w:hAnsi="Calibri" w:cs="Calibri"/>
          <w:b/>
          <w:bCs/>
        </w:rPr>
        <w:t xml:space="preserve">Rozdział I. </w:t>
      </w:r>
      <w:bookmarkEnd w:id="1"/>
      <w:bookmarkEnd w:id="2"/>
      <w:r>
        <w:rPr>
          <w:rStyle w:val="Nagwek1Znak"/>
          <w:rFonts w:ascii="Calibri" w:eastAsia="Calibri" w:hAnsi="Calibri" w:cs="Calibri"/>
          <w:b/>
          <w:bCs/>
        </w:rPr>
        <w:t>Synteza ustaleń diagnozy</w:t>
      </w:r>
      <w:bookmarkEnd w:id="6"/>
      <w:bookmarkEnd w:id="7"/>
      <w:bookmarkEnd w:id="8"/>
      <w:bookmarkEnd w:id="9"/>
      <w:bookmarkEnd w:id="10"/>
      <w:bookmarkEnd w:id="11"/>
      <w:bookmarkEnd w:id="12"/>
      <w:bookmarkEnd w:id="13"/>
      <w:bookmarkEnd w:id="14"/>
      <w:bookmarkEnd w:id="15"/>
      <w:bookmarkEnd w:id="16"/>
      <w:bookmarkEnd w:id="17"/>
      <w:bookmarkEnd w:id="18"/>
      <w:r>
        <w:rPr>
          <w:rStyle w:val="Nagwek1Znak"/>
          <w:rFonts w:ascii="Calibri" w:eastAsia="Calibri" w:hAnsi="Calibri" w:cs="Calibri"/>
          <w:b/>
          <w:bCs/>
        </w:rPr>
        <w:t xml:space="preserve"> </w:t>
      </w:r>
    </w:p>
    <w:tbl>
      <w:tblPr>
        <w:tblW w:w="9356" w:type="dxa"/>
        <w:tblCellMar>
          <w:left w:w="10" w:type="dxa"/>
          <w:right w:w="10" w:type="dxa"/>
        </w:tblCellMar>
        <w:tblLook w:val="0000" w:firstRow="0" w:lastRow="0" w:firstColumn="0" w:lastColumn="0" w:noHBand="0" w:noVBand="0"/>
      </w:tblPr>
      <w:tblGrid>
        <w:gridCol w:w="9356"/>
      </w:tblGrid>
      <w:tr w:rsidR="00BF4FFC" w:rsidRPr="009B4269" w14:paraId="5DAEB58A" w14:textId="77777777" w:rsidTr="00DE134A">
        <w:tc>
          <w:tcPr>
            <w:tcW w:w="9356" w:type="dxa"/>
            <w:shd w:val="clear" w:color="auto" w:fill="F2F2F2" w:themeFill="background1" w:themeFillShade="F2"/>
            <w:tcMar>
              <w:top w:w="0" w:type="dxa"/>
              <w:left w:w="108" w:type="dxa"/>
              <w:bottom w:w="0" w:type="dxa"/>
              <w:right w:w="108" w:type="dxa"/>
            </w:tcMar>
          </w:tcPr>
          <w:p w14:paraId="62E09B32" w14:textId="7A80092F" w:rsidR="00BF4FFC" w:rsidRPr="009B4269" w:rsidRDefault="009871AE">
            <w:pPr>
              <w:spacing w:before="120" w:line="288" w:lineRule="auto"/>
              <w:rPr>
                <w:rFonts w:cs="Calibri"/>
                <w:iCs/>
              </w:rPr>
            </w:pPr>
            <w:r w:rsidRPr="009B4269">
              <w:rPr>
                <w:rFonts w:cs="Calibri"/>
                <w:iCs/>
              </w:rPr>
              <w:t xml:space="preserve">W rozdziale znajduje się syntetyczna informacja o </w:t>
            </w:r>
            <w:r w:rsidR="00131763">
              <w:rPr>
                <w:rFonts w:cs="Calibri"/>
                <w:iCs/>
              </w:rPr>
              <w:t xml:space="preserve">ustaleniu </w:t>
            </w:r>
            <w:r w:rsidRPr="009B4269">
              <w:rPr>
                <w:rFonts w:cs="Calibri"/>
                <w:iCs/>
              </w:rPr>
              <w:t>obszar</w:t>
            </w:r>
            <w:r w:rsidR="00131763">
              <w:rPr>
                <w:rFonts w:cs="Calibri"/>
                <w:iCs/>
              </w:rPr>
              <w:t xml:space="preserve">u </w:t>
            </w:r>
            <w:r w:rsidRPr="009B4269">
              <w:rPr>
                <w:rFonts w:cs="Calibri"/>
                <w:iCs/>
              </w:rPr>
              <w:t>zdegradowan</w:t>
            </w:r>
            <w:r w:rsidR="00131763">
              <w:rPr>
                <w:rFonts w:cs="Calibri"/>
                <w:iCs/>
              </w:rPr>
              <w:t xml:space="preserve">ego </w:t>
            </w:r>
            <w:r w:rsidRPr="009B4269">
              <w:rPr>
                <w:rFonts w:cs="Calibri"/>
                <w:iCs/>
              </w:rPr>
              <w:t>i obszar</w:t>
            </w:r>
            <w:r w:rsidR="00131763">
              <w:rPr>
                <w:rFonts w:cs="Calibri"/>
                <w:iCs/>
              </w:rPr>
              <w:t>u</w:t>
            </w:r>
            <w:r w:rsidRPr="009B4269">
              <w:rPr>
                <w:rFonts w:cs="Calibri"/>
                <w:iCs/>
              </w:rPr>
              <w:t xml:space="preserve"> rewitalizacji</w:t>
            </w:r>
            <w:r w:rsidR="00131763">
              <w:rPr>
                <w:rFonts w:cs="Calibri"/>
                <w:iCs/>
              </w:rPr>
              <w:t>.</w:t>
            </w:r>
          </w:p>
        </w:tc>
      </w:tr>
    </w:tbl>
    <w:p w14:paraId="7FC4EF5B" w14:textId="181D924A" w:rsidR="00430349" w:rsidRPr="00E82FDF" w:rsidRDefault="00E82FDF" w:rsidP="0005262A">
      <w:pPr>
        <w:spacing w:before="120" w:after="0" w:line="264" w:lineRule="auto"/>
        <w:rPr>
          <w:rFonts w:asciiTheme="minorHAnsi" w:hAnsiTheme="minorHAnsi" w:cstheme="minorHAnsi"/>
          <w:bCs/>
          <w:sz w:val="24"/>
          <w:szCs w:val="24"/>
        </w:rPr>
      </w:pPr>
      <w:r w:rsidRPr="00E82FDF">
        <w:rPr>
          <w:rFonts w:asciiTheme="minorHAnsi" w:hAnsiTheme="minorHAnsi" w:cstheme="minorHAnsi"/>
          <w:bCs/>
          <w:sz w:val="24"/>
          <w:szCs w:val="24"/>
        </w:rPr>
        <w:t>Diagnoza sytuacji społeczno-gospodarczej i przestrzennej Gminy Krośniewice stanowi punkt wyjścia do określenia kierunków dalszego rozwoju jednostki samorządu terytorialnego oraz podstawę formułowania celów i działań strategicznych. Jej celem jest kompleksowe rozpoznanie aktualnych uwarunkowań rozwojowych gminy, identyfikacja kluczowych problemów i barier rozwojowych, a także określenie potencjałów endogenicznych, które mogą zostać wykorzystane w długookresowej polityce rozwoju lokalnego.</w:t>
      </w:r>
      <w:r w:rsidR="00131763">
        <w:rPr>
          <w:rFonts w:asciiTheme="minorHAnsi" w:hAnsiTheme="minorHAnsi" w:cstheme="minorHAnsi"/>
          <w:bCs/>
          <w:sz w:val="24"/>
          <w:szCs w:val="24"/>
        </w:rPr>
        <w:t xml:space="preserve"> </w:t>
      </w:r>
      <w:r w:rsidR="00E22D24" w:rsidRPr="00E22D24">
        <w:rPr>
          <w:rFonts w:cs="Calibri"/>
          <w:bCs/>
          <w:sz w:val="24"/>
          <w:szCs w:val="24"/>
        </w:rPr>
        <w:t xml:space="preserve">Przygotowanie, koordynacja i tworzenie warunków do rewitalizacji jest zadaniem własnym, ale nieobowiązkowym gminy. Aby realizować to fakultatywne zadanie własne, należy opracować </w:t>
      </w:r>
      <w:r w:rsidR="0096129D">
        <w:rPr>
          <w:rFonts w:cs="Calibri"/>
          <w:bCs/>
          <w:sz w:val="24"/>
          <w:szCs w:val="24"/>
        </w:rPr>
        <w:t>gminny program rewitalizacji (</w:t>
      </w:r>
      <w:r w:rsidR="00E22D24" w:rsidRPr="00E22D24">
        <w:rPr>
          <w:rFonts w:cs="Calibri"/>
          <w:bCs/>
          <w:sz w:val="24"/>
          <w:szCs w:val="24"/>
        </w:rPr>
        <w:t>GPR</w:t>
      </w:r>
      <w:r w:rsidR="0096129D">
        <w:rPr>
          <w:rFonts w:cs="Calibri"/>
          <w:bCs/>
          <w:sz w:val="24"/>
          <w:szCs w:val="24"/>
        </w:rPr>
        <w:t>)</w:t>
      </w:r>
      <w:r w:rsidR="00E22D24" w:rsidRPr="00E22D24">
        <w:rPr>
          <w:rFonts w:cs="Calibri"/>
          <w:bCs/>
          <w:sz w:val="24"/>
          <w:szCs w:val="24"/>
        </w:rPr>
        <w:t xml:space="preserve"> – dokument, który zawiera mapę drogową dla całego obszaru rewitalizacji. Pokazuje on, jak w założonej perspektywie kilku lat rozwiązać problemy obszaru i społeczności lokalnej lub chociaż jak wydatnie zmniejszyć ich natężenie</w:t>
      </w:r>
      <w:r w:rsidR="0096129D">
        <w:rPr>
          <w:rFonts w:cs="Calibri"/>
          <w:bCs/>
          <w:sz w:val="24"/>
          <w:szCs w:val="24"/>
        </w:rPr>
        <w:t xml:space="preserve">. W przypadku </w:t>
      </w:r>
      <w:proofErr w:type="gramStart"/>
      <w:r w:rsidR="00452D13">
        <w:rPr>
          <w:rFonts w:cs="Calibri"/>
          <w:bCs/>
          <w:sz w:val="24"/>
          <w:szCs w:val="24"/>
        </w:rPr>
        <w:t xml:space="preserve">Krośniewic </w:t>
      </w:r>
      <w:r w:rsidR="0096129D">
        <w:rPr>
          <w:rFonts w:cs="Calibri"/>
          <w:bCs/>
          <w:sz w:val="24"/>
          <w:szCs w:val="24"/>
        </w:rPr>
        <w:t xml:space="preserve"> </w:t>
      </w:r>
      <w:r w:rsidR="00452D13">
        <w:rPr>
          <w:rFonts w:cs="Calibri"/>
          <w:bCs/>
          <w:sz w:val="24"/>
          <w:szCs w:val="24"/>
        </w:rPr>
        <w:t>planuje</w:t>
      </w:r>
      <w:proofErr w:type="gramEnd"/>
      <w:r w:rsidR="00452D13">
        <w:rPr>
          <w:rFonts w:cs="Calibri"/>
          <w:bCs/>
          <w:sz w:val="24"/>
          <w:szCs w:val="24"/>
        </w:rPr>
        <w:t xml:space="preserve"> się, że </w:t>
      </w:r>
      <w:r w:rsidR="0096129D">
        <w:rPr>
          <w:rFonts w:cs="Calibri"/>
          <w:bCs/>
          <w:sz w:val="24"/>
          <w:szCs w:val="24"/>
        </w:rPr>
        <w:t>program rewitalizacji obejmować będzie okres do 2030 roku, który odpowiada unijnemu okresowi finansowania na lata 2021-2027 wydłużonego o 3 lata zgodnie z zasadą finansowania n+3.</w:t>
      </w:r>
      <w:r w:rsidR="0096129D" w:rsidRPr="0096129D">
        <w:t xml:space="preserve"> </w:t>
      </w:r>
      <w:r w:rsidR="0096129D" w:rsidRPr="0096129D">
        <w:rPr>
          <w:rFonts w:cs="Calibri"/>
          <w:bCs/>
          <w:sz w:val="24"/>
          <w:szCs w:val="24"/>
        </w:rPr>
        <w:t>Jest to zasada odnosząca się do okresu programowania Unii Europejskiej, która określa dodatkowy okres na realizację i rozliczenie projektów i programów współfinansowanych z Funduszy Europejskich. W praktyce oznacza to, że z funduszy przyznanych w ramach perspektywy finansowej 20</w:t>
      </w:r>
      <w:r w:rsidR="0096129D">
        <w:rPr>
          <w:rFonts w:cs="Calibri"/>
          <w:bCs/>
          <w:sz w:val="24"/>
          <w:szCs w:val="24"/>
        </w:rPr>
        <w:t>21</w:t>
      </w:r>
      <w:r w:rsidR="0096129D" w:rsidRPr="0096129D">
        <w:rPr>
          <w:rFonts w:cs="Calibri"/>
          <w:bCs/>
          <w:sz w:val="24"/>
          <w:szCs w:val="24"/>
        </w:rPr>
        <w:t>-202</w:t>
      </w:r>
      <w:r w:rsidR="0096129D">
        <w:rPr>
          <w:rFonts w:cs="Calibri"/>
          <w:bCs/>
          <w:sz w:val="24"/>
          <w:szCs w:val="24"/>
        </w:rPr>
        <w:t>7</w:t>
      </w:r>
      <w:r w:rsidR="0096129D" w:rsidRPr="0096129D">
        <w:rPr>
          <w:rFonts w:cs="Calibri"/>
          <w:bCs/>
          <w:sz w:val="24"/>
          <w:szCs w:val="24"/>
        </w:rPr>
        <w:t xml:space="preserve"> faktycznie korzystać można do roku </w:t>
      </w:r>
      <w:r w:rsidR="0096129D">
        <w:rPr>
          <w:rFonts w:cs="Calibri"/>
          <w:bCs/>
          <w:sz w:val="24"/>
          <w:szCs w:val="24"/>
        </w:rPr>
        <w:t xml:space="preserve">2030. </w:t>
      </w:r>
    </w:p>
    <w:p w14:paraId="514CA34D" w14:textId="00E141A0" w:rsidR="00E22D24" w:rsidRPr="004D7753" w:rsidRDefault="004A7CBA" w:rsidP="0005262A">
      <w:pPr>
        <w:spacing w:before="120" w:after="0" w:line="264" w:lineRule="auto"/>
        <w:rPr>
          <w:rFonts w:cs="Calibri"/>
          <w:bCs/>
          <w:sz w:val="24"/>
          <w:szCs w:val="24"/>
        </w:rPr>
      </w:pPr>
      <w:r w:rsidRPr="00C2060A">
        <w:rPr>
          <w:rFonts w:cs="Calibri"/>
          <w:bCs/>
          <w:sz w:val="24"/>
          <w:szCs w:val="24"/>
        </w:rPr>
        <w:t xml:space="preserve">Opracowany GPR uwzględniać będzie, nie tylko wymogi ustawy o rewitalizacji, ale również </w:t>
      </w:r>
      <w:r w:rsidR="004D7753" w:rsidRPr="004D7753">
        <w:rPr>
          <w:rFonts w:cs="Calibri"/>
          <w:bCs/>
          <w:sz w:val="24"/>
          <w:szCs w:val="24"/>
        </w:rPr>
        <w:t>wymogi strategii terytorialnych zgodnie z art. 36 ust. 8 i 9 ustawy o zasadach realizacji zadań finansowanych ze środków europejskich w perspektywie finansowej 2021–2027.</w:t>
      </w:r>
      <w:r w:rsidR="004D7753">
        <w:rPr>
          <w:rFonts w:cs="Calibri"/>
          <w:bCs/>
          <w:sz w:val="24"/>
          <w:szCs w:val="24"/>
        </w:rPr>
        <w:t xml:space="preserve"> </w:t>
      </w:r>
      <w:r>
        <w:rPr>
          <w:rFonts w:eastAsia="Times New Roman" w:cstheme="minorHAnsi"/>
          <w:sz w:val="24"/>
          <w:szCs w:val="24"/>
        </w:rPr>
        <w:t>W</w:t>
      </w:r>
      <w:r w:rsidRPr="005C0DA3">
        <w:rPr>
          <w:rFonts w:eastAsia="Times New Roman" w:cstheme="minorHAnsi"/>
          <w:sz w:val="24"/>
          <w:szCs w:val="24"/>
        </w:rPr>
        <w:t>ymog</w:t>
      </w:r>
      <w:r>
        <w:rPr>
          <w:rFonts w:eastAsia="Times New Roman" w:cstheme="minorHAnsi"/>
          <w:sz w:val="24"/>
          <w:szCs w:val="24"/>
        </w:rPr>
        <w:t xml:space="preserve">i </w:t>
      </w:r>
      <w:r w:rsidRPr="005C0DA3">
        <w:rPr>
          <w:rFonts w:eastAsia="Times New Roman" w:cstheme="minorHAnsi"/>
          <w:sz w:val="24"/>
          <w:szCs w:val="24"/>
        </w:rPr>
        <w:t xml:space="preserve">strategii IIT </w:t>
      </w:r>
      <w:r>
        <w:rPr>
          <w:rFonts w:eastAsia="Times New Roman" w:cstheme="minorHAnsi"/>
          <w:sz w:val="24"/>
          <w:szCs w:val="24"/>
        </w:rPr>
        <w:t xml:space="preserve">określone zostały w </w:t>
      </w:r>
      <w:r w:rsidRPr="005C0DA3">
        <w:rPr>
          <w:rFonts w:eastAsia="Times New Roman" w:cstheme="minorHAnsi"/>
          <w:sz w:val="24"/>
          <w:szCs w:val="24"/>
        </w:rPr>
        <w:t>dokumen</w:t>
      </w:r>
      <w:r>
        <w:rPr>
          <w:rFonts w:eastAsia="Times New Roman" w:cstheme="minorHAnsi"/>
          <w:sz w:val="24"/>
          <w:szCs w:val="24"/>
        </w:rPr>
        <w:t>cie</w:t>
      </w:r>
      <w:r w:rsidRPr="005C0DA3">
        <w:rPr>
          <w:rFonts w:eastAsia="Times New Roman" w:cstheme="minorHAnsi"/>
          <w:sz w:val="24"/>
          <w:szCs w:val="24"/>
        </w:rPr>
        <w:t xml:space="preserve"> opracowa</w:t>
      </w:r>
      <w:r>
        <w:rPr>
          <w:rFonts w:eastAsia="Times New Roman" w:cstheme="minorHAnsi"/>
          <w:sz w:val="24"/>
          <w:szCs w:val="24"/>
        </w:rPr>
        <w:t>nym</w:t>
      </w:r>
      <w:r w:rsidRPr="005C0DA3">
        <w:rPr>
          <w:rFonts w:eastAsia="Times New Roman" w:cstheme="minorHAnsi"/>
          <w:sz w:val="24"/>
          <w:szCs w:val="24"/>
        </w:rPr>
        <w:t xml:space="preserve"> przez Ministerstwo Funduszy i Polityki Regionalnej </w:t>
      </w:r>
      <w:r>
        <w:rPr>
          <w:rFonts w:eastAsia="Times New Roman" w:cstheme="minorHAnsi"/>
          <w:sz w:val="24"/>
          <w:szCs w:val="24"/>
        </w:rPr>
        <w:t xml:space="preserve">pn. </w:t>
      </w:r>
      <w:r w:rsidRPr="005C0DA3">
        <w:rPr>
          <w:rFonts w:eastAsia="Times New Roman" w:cstheme="minorHAnsi"/>
          <w:sz w:val="24"/>
          <w:szCs w:val="24"/>
        </w:rPr>
        <w:t>„Zasad</w:t>
      </w:r>
      <w:r>
        <w:rPr>
          <w:rFonts w:eastAsia="Times New Roman" w:cstheme="minorHAnsi"/>
          <w:sz w:val="24"/>
          <w:szCs w:val="24"/>
        </w:rPr>
        <w:t>y</w:t>
      </w:r>
      <w:r w:rsidRPr="005C0DA3">
        <w:rPr>
          <w:rFonts w:eastAsia="Times New Roman" w:cstheme="minorHAnsi"/>
          <w:sz w:val="24"/>
          <w:szCs w:val="24"/>
        </w:rPr>
        <w:t xml:space="preserve"> realizacji instrumentów terytorialnych w Polsce w perspektywie finansowe</w:t>
      </w:r>
      <w:r w:rsidR="006A1D20">
        <w:rPr>
          <w:rFonts w:eastAsia="Times New Roman" w:cstheme="minorHAnsi"/>
          <w:sz w:val="24"/>
          <w:szCs w:val="24"/>
        </w:rPr>
        <w:t>j</w:t>
      </w:r>
      <w:r w:rsidRPr="005C0DA3">
        <w:rPr>
          <w:rFonts w:eastAsia="Times New Roman" w:cstheme="minorHAnsi"/>
          <w:sz w:val="24"/>
          <w:szCs w:val="24"/>
        </w:rPr>
        <w:t xml:space="preserve"> UE 2021-2027”</w:t>
      </w:r>
      <w:r>
        <w:rPr>
          <w:rStyle w:val="Odwoanieprzypisudolnego"/>
          <w:rFonts w:eastAsia="Times New Roman" w:cstheme="minorHAnsi"/>
          <w:sz w:val="24"/>
          <w:szCs w:val="24"/>
        </w:rPr>
        <w:footnoteReference w:id="1"/>
      </w:r>
      <w:r w:rsidRPr="005C0DA3">
        <w:rPr>
          <w:rFonts w:eastAsia="Times New Roman" w:cstheme="minorHAnsi"/>
          <w:sz w:val="24"/>
          <w:szCs w:val="24"/>
        </w:rPr>
        <w:t xml:space="preserve">. </w:t>
      </w:r>
    </w:p>
    <w:p w14:paraId="7972BD6D" w14:textId="0B6D1217" w:rsidR="0096129D" w:rsidRDefault="0096129D" w:rsidP="0005262A">
      <w:pPr>
        <w:spacing w:before="120" w:after="0" w:line="264" w:lineRule="auto"/>
        <w:rPr>
          <w:rFonts w:cs="Calibri"/>
          <w:bCs/>
          <w:sz w:val="24"/>
          <w:szCs w:val="24"/>
        </w:rPr>
      </w:pPr>
      <w:bookmarkStart w:id="19" w:name="_Hlk138417909"/>
      <w:r w:rsidRPr="0096129D">
        <w:rPr>
          <w:rFonts w:cs="Calibri"/>
          <w:bCs/>
          <w:sz w:val="24"/>
          <w:szCs w:val="24"/>
        </w:rPr>
        <w:t>Zgodnie z ustawą</w:t>
      </w:r>
      <w:r>
        <w:rPr>
          <w:rFonts w:cs="Calibri"/>
          <w:bCs/>
          <w:sz w:val="24"/>
          <w:szCs w:val="24"/>
        </w:rPr>
        <w:t xml:space="preserve"> </w:t>
      </w:r>
      <w:r w:rsidRPr="0096129D">
        <w:rPr>
          <w:rFonts w:cs="Calibri"/>
          <w:bCs/>
          <w:sz w:val="24"/>
          <w:szCs w:val="24"/>
        </w:rPr>
        <w:t xml:space="preserve">z dnia 9 października 2015 r. </w:t>
      </w:r>
      <w:r>
        <w:rPr>
          <w:rFonts w:cs="Calibri"/>
          <w:bCs/>
          <w:sz w:val="24"/>
          <w:szCs w:val="24"/>
        </w:rPr>
        <w:t xml:space="preserve">o rewitalizacji </w:t>
      </w:r>
      <w:r w:rsidRPr="0096129D">
        <w:rPr>
          <w:rFonts w:cs="Calibri"/>
          <w:bCs/>
          <w:sz w:val="24"/>
          <w:szCs w:val="24"/>
        </w:rPr>
        <w:t>zaplanowanie tego procesu następuje niejako w dwóch etapach. Pierwszym jest wyznaczenie obszaru zdegradowanego i obszaru rewitalizacji. Następuje ono w drodze uchwały rady gminy, tzw. uchwały delimitacyjnej</w:t>
      </w:r>
      <w:r>
        <w:rPr>
          <w:rFonts w:cs="Calibri"/>
          <w:bCs/>
          <w:sz w:val="24"/>
          <w:szCs w:val="24"/>
        </w:rPr>
        <w:t xml:space="preserve"> opracowanej na podstawie Diagnozy obszaru zdegradowanego i obszaru rewitalizacji. </w:t>
      </w:r>
    </w:p>
    <w:p w14:paraId="1A64D668" w14:textId="245CB7BD" w:rsidR="00E22D24" w:rsidRPr="00C2060A" w:rsidRDefault="0096129D" w:rsidP="0005262A">
      <w:pPr>
        <w:spacing w:before="120" w:after="0" w:line="264" w:lineRule="auto"/>
        <w:rPr>
          <w:rFonts w:cs="Calibri"/>
          <w:bCs/>
          <w:sz w:val="24"/>
          <w:szCs w:val="24"/>
        </w:rPr>
      </w:pPr>
      <w:r w:rsidRPr="0096129D">
        <w:rPr>
          <w:rFonts w:cs="Calibri"/>
          <w:bCs/>
          <w:sz w:val="24"/>
          <w:szCs w:val="24"/>
        </w:rPr>
        <w:t xml:space="preserve">Drugim etapem jest opracowanie </w:t>
      </w:r>
      <w:proofErr w:type="gramStart"/>
      <w:r w:rsidRPr="0096129D">
        <w:rPr>
          <w:rFonts w:cs="Calibri"/>
          <w:bCs/>
          <w:sz w:val="24"/>
          <w:szCs w:val="24"/>
        </w:rPr>
        <w:t>i  uchwalenie</w:t>
      </w:r>
      <w:proofErr w:type="gramEnd"/>
      <w:r w:rsidRPr="0096129D">
        <w:rPr>
          <w:rFonts w:cs="Calibri"/>
          <w:bCs/>
          <w:sz w:val="24"/>
          <w:szCs w:val="24"/>
        </w:rPr>
        <w:t xml:space="preserve"> dokumentu, na podstawie którego rewitalizacja będzie prowadzona</w:t>
      </w:r>
      <w:r>
        <w:rPr>
          <w:rFonts w:cs="Calibri"/>
          <w:bCs/>
          <w:sz w:val="24"/>
          <w:szCs w:val="24"/>
        </w:rPr>
        <w:t xml:space="preserve"> - </w:t>
      </w:r>
      <w:r w:rsidRPr="0096129D">
        <w:rPr>
          <w:rFonts w:cs="Calibri"/>
          <w:bCs/>
          <w:sz w:val="24"/>
          <w:szCs w:val="24"/>
        </w:rPr>
        <w:t xml:space="preserve">GPR, który jest wieloletnim programem działań </w:t>
      </w:r>
      <w:proofErr w:type="gramStart"/>
      <w:r w:rsidRPr="0096129D">
        <w:rPr>
          <w:rFonts w:cs="Calibri"/>
          <w:bCs/>
          <w:sz w:val="24"/>
          <w:szCs w:val="24"/>
        </w:rPr>
        <w:t>w  sferze</w:t>
      </w:r>
      <w:proofErr w:type="gramEnd"/>
      <w:r w:rsidRPr="0096129D">
        <w:rPr>
          <w:rFonts w:cs="Calibri"/>
          <w:bCs/>
          <w:sz w:val="24"/>
          <w:szCs w:val="24"/>
        </w:rPr>
        <w:t xml:space="preserve"> społecznej oraz </w:t>
      </w:r>
      <w:r w:rsidRPr="00C2060A">
        <w:rPr>
          <w:rFonts w:cs="Calibri"/>
          <w:bCs/>
          <w:sz w:val="24"/>
          <w:szCs w:val="24"/>
        </w:rPr>
        <w:t>gospodarczej lub przestrzenno-funkcjonalnej lub technicznej, lub środowiskowej (</w:t>
      </w:r>
      <w:proofErr w:type="gramStart"/>
      <w:r w:rsidRPr="00C2060A">
        <w:rPr>
          <w:rFonts w:cs="Calibri"/>
          <w:bCs/>
          <w:sz w:val="24"/>
          <w:szCs w:val="24"/>
        </w:rPr>
        <w:t>w  zależności</w:t>
      </w:r>
      <w:proofErr w:type="gramEnd"/>
      <w:r w:rsidRPr="00C2060A">
        <w:rPr>
          <w:rFonts w:cs="Calibri"/>
          <w:bCs/>
          <w:sz w:val="24"/>
          <w:szCs w:val="24"/>
        </w:rPr>
        <w:t xml:space="preserve"> od zidentyfikowanych zjawisk kryzysowych). Jego realizacja ma spowodować wyprowadzenie wyznaczonych obszarów rewitalizacji ze stanu kryzysowego oraz stworzenia warunków do ich zrównoważonego rozwoju.</w:t>
      </w:r>
    </w:p>
    <w:bookmarkEnd w:id="19"/>
    <w:p w14:paraId="0F868425" w14:textId="5E39F26D" w:rsidR="00131763" w:rsidRPr="00FA3E72" w:rsidRDefault="00174C87" w:rsidP="00FA3E72">
      <w:pPr>
        <w:spacing w:before="120" w:after="0" w:line="264" w:lineRule="auto"/>
        <w:rPr>
          <w:rFonts w:asciiTheme="minorHAnsi" w:hAnsiTheme="minorHAnsi" w:cstheme="minorHAnsi"/>
          <w:sz w:val="24"/>
          <w:szCs w:val="24"/>
        </w:rPr>
      </w:pPr>
      <w:r>
        <w:rPr>
          <w:rFonts w:cs="Calibri"/>
          <w:bCs/>
          <w:sz w:val="24"/>
          <w:szCs w:val="24"/>
        </w:rPr>
        <w:t>Krośniewice</w:t>
      </w:r>
      <w:r w:rsidR="003513CA">
        <w:rPr>
          <w:rFonts w:cs="Calibri"/>
          <w:bCs/>
          <w:sz w:val="24"/>
          <w:szCs w:val="24"/>
        </w:rPr>
        <w:t xml:space="preserve"> </w:t>
      </w:r>
      <w:r w:rsidR="0025690F" w:rsidRPr="0025690F">
        <w:rPr>
          <w:rFonts w:cs="Calibri"/>
          <w:bCs/>
          <w:sz w:val="24"/>
          <w:szCs w:val="24"/>
        </w:rPr>
        <w:t>nie posiada</w:t>
      </w:r>
      <w:r>
        <w:rPr>
          <w:rFonts w:cs="Calibri"/>
          <w:bCs/>
          <w:sz w:val="24"/>
          <w:szCs w:val="24"/>
        </w:rPr>
        <w:t>ją</w:t>
      </w:r>
      <w:r w:rsidR="0025690F" w:rsidRPr="0025690F">
        <w:rPr>
          <w:rFonts w:cs="Calibri"/>
          <w:bCs/>
          <w:sz w:val="24"/>
          <w:szCs w:val="24"/>
        </w:rPr>
        <w:t xml:space="preserve"> wyznaczonego obszaru zdegradowanego i obszaru rewitalizacji w myśl ustawy z dnia 9 października 2015 r. o rewitalizacji</w:t>
      </w:r>
      <w:r w:rsidR="0025690F">
        <w:rPr>
          <w:rFonts w:cs="Calibri"/>
          <w:bCs/>
          <w:sz w:val="24"/>
          <w:szCs w:val="24"/>
        </w:rPr>
        <w:t xml:space="preserve">. </w:t>
      </w:r>
      <w:r w:rsidR="00C33CDF" w:rsidRPr="00C33CDF">
        <w:rPr>
          <w:rFonts w:cs="Calibri"/>
          <w:bCs/>
          <w:sz w:val="24"/>
          <w:szCs w:val="24"/>
        </w:rPr>
        <w:t xml:space="preserve">Gmina </w:t>
      </w:r>
      <w:r w:rsidR="003513CA">
        <w:rPr>
          <w:rFonts w:cs="Calibri"/>
          <w:bCs/>
          <w:sz w:val="24"/>
          <w:szCs w:val="24"/>
        </w:rPr>
        <w:t xml:space="preserve">ma </w:t>
      </w:r>
      <w:r>
        <w:rPr>
          <w:rFonts w:cs="Calibri"/>
          <w:bCs/>
          <w:sz w:val="24"/>
          <w:szCs w:val="24"/>
        </w:rPr>
        <w:t xml:space="preserve">jednak </w:t>
      </w:r>
      <w:r w:rsidR="003513CA">
        <w:rPr>
          <w:rFonts w:cs="Calibri"/>
          <w:bCs/>
          <w:sz w:val="24"/>
          <w:szCs w:val="24"/>
        </w:rPr>
        <w:t xml:space="preserve">doświadczenia z </w:t>
      </w:r>
      <w:r w:rsidR="003513CA">
        <w:rPr>
          <w:rFonts w:cs="Calibri"/>
          <w:bCs/>
          <w:sz w:val="24"/>
          <w:szCs w:val="24"/>
        </w:rPr>
        <w:lastRenderedPageBreak/>
        <w:t>prowadzeniem dział</w:t>
      </w:r>
      <w:r w:rsidR="00E82FDF">
        <w:rPr>
          <w:rFonts w:cs="Calibri"/>
          <w:bCs/>
          <w:sz w:val="24"/>
          <w:szCs w:val="24"/>
        </w:rPr>
        <w:t>ań</w:t>
      </w:r>
      <w:r w:rsidR="003513CA">
        <w:rPr>
          <w:rFonts w:cs="Calibri"/>
          <w:bCs/>
          <w:sz w:val="24"/>
          <w:szCs w:val="24"/>
        </w:rPr>
        <w:t xml:space="preserve"> rewitalizacyjnych </w:t>
      </w:r>
      <w:r w:rsidR="003513CA">
        <w:rPr>
          <w:rFonts w:asciiTheme="minorHAnsi" w:hAnsiTheme="minorHAnsi" w:cstheme="minorHAnsi"/>
          <w:sz w:val="24"/>
          <w:szCs w:val="24"/>
        </w:rPr>
        <w:t xml:space="preserve">na podstawie </w:t>
      </w:r>
      <w:r w:rsidR="00E82FDF" w:rsidRPr="003513CA">
        <w:rPr>
          <w:rFonts w:asciiTheme="minorHAnsi" w:hAnsiTheme="minorHAnsi" w:cstheme="minorHAnsi"/>
          <w:sz w:val="24"/>
          <w:szCs w:val="24"/>
        </w:rPr>
        <w:t>program</w:t>
      </w:r>
      <w:r w:rsidR="00E82FDF">
        <w:rPr>
          <w:rFonts w:asciiTheme="minorHAnsi" w:hAnsiTheme="minorHAnsi" w:cstheme="minorHAnsi"/>
          <w:sz w:val="24"/>
          <w:szCs w:val="24"/>
        </w:rPr>
        <w:t xml:space="preserve">u </w:t>
      </w:r>
      <w:r w:rsidR="00E82FDF" w:rsidRPr="003513CA">
        <w:rPr>
          <w:rFonts w:asciiTheme="minorHAnsi" w:hAnsiTheme="minorHAnsi" w:cstheme="minorHAnsi"/>
          <w:sz w:val="24"/>
          <w:szCs w:val="24"/>
        </w:rPr>
        <w:t>rewitalizacji</w:t>
      </w:r>
      <w:r w:rsidR="00E82FDF">
        <w:rPr>
          <w:rFonts w:asciiTheme="minorHAnsi" w:hAnsiTheme="minorHAnsi" w:cstheme="minorHAnsi"/>
          <w:sz w:val="24"/>
          <w:szCs w:val="24"/>
        </w:rPr>
        <w:t xml:space="preserve"> </w:t>
      </w:r>
      <w:bookmarkStart w:id="20" w:name="_Hlk218590459"/>
      <w:r w:rsidR="00E82FDF" w:rsidRPr="00FA3E72">
        <w:rPr>
          <w:rFonts w:asciiTheme="minorHAnsi" w:hAnsiTheme="minorHAnsi" w:cstheme="minorHAnsi"/>
          <w:b/>
          <w:bCs/>
          <w:sz w:val="24"/>
          <w:szCs w:val="24"/>
        </w:rPr>
        <w:t>Lokalnego Programu Rewitalizacji Miasta Krośniewice na lata 2014-2022</w:t>
      </w:r>
      <w:bookmarkEnd w:id="20"/>
      <w:r w:rsidR="00E82FDF" w:rsidRPr="00E82FDF">
        <w:rPr>
          <w:rFonts w:asciiTheme="minorHAnsi" w:hAnsiTheme="minorHAnsi" w:cstheme="minorHAnsi"/>
          <w:sz w:val="24"/>
          <w:szCs w:val="24"/>
        </w:rPr>
        <w:t xml:space="preserve"> przyjęt</w:t>
      </w:r>
      <w:r w:rsidR="00E82FDF">
        <w:rPr>
          <w:rFonts w:asciiTheme="minorHAnsi" w:hAnsiTheme="minorHAnsi" w:cstheme="minorHAnsi"/>
          <w:sz w:val="24"/>
          <w:szCs w:val="24"/>
        </w:rPr>
        <w:t>ego</w:t>
      </w:r>
      <w:r w:rsidR="00E82FDF" w:rsidRPr="00E82FDF">
        <w:rPr>
          <w:rFonts w:asciiTheme="minorHAnsi" w:hAnsiTheme="minorHAnsi" w:cstheme="minorHAnsi"/>
          <w:sz w:val="24"/>
          <w:szCs w:val="24"/>
        </w:rPr>
        <w:t xml:space="preserve"> </w:t>
      </w:r>
      <w:r w:rsidR="00131763">
        <w:rPr>
          <w:rFonts w:asciiTheme="minorHAnsi" w:hAnsiTheme="minorHAnsi" w:cstheme="minorHAnsi"/>
          <w:sz w:val="24"/>
          <w:szCs w:val="24"/>
        </w:rPr>
        <w:t>u</w:t>
      </w:r>
      <w:r w:rsidR="00E82FDF" w:rsidRPr="00E82FDF">
        <w:rPr>
          <w:rFonts w:asciiTheme="minorHAnsi" w:hAnsiTheme="minorHAnsi" w:cstheme="minorHAnsi"/>
          <w:sz w:val="24"/>
          <w:szCs w:val="24"/>
        </w:rPr>
        <w:t>chwałą nr VIII/43/15 Rady Miejskiej w Krośniewicach z dnia 27 kwietnia 2015 r. w sprawie przyjęcia Lokalnego Programu Rewitalizacji Miasta Krośniewice na lata 2014-2022</w:t>
      </w:r>
      <w:r w:rsidR="00E82FDF">
        <w:rPr>
          <w:rFonts w:asciiTheme="minorHAnsi" w:hAnsiTheme="minorHAnsi" w:cstheme="minorHAnsi"/>
          <w:sz w:val="24"/>
          <w:szCs w:val="24"/>
        </w:rPr>
        <w:t xml:space="preserve">. </w:t>
      </w:r>
      <w:r w:rsidR="00E82FDF" w:rsidRPr="00E82FDF">
        <w:rPr>
          <w:rFonts w:asciiTheme="minorHAnsi" w:hAnsiTheme="minorHAnsi" w:cstheme="minorHAnsi"/>
          <w:sz w:val="24"/>
          <w:szCs w:val="24"/>
        </w:rPr>
        <w:t xml:space="preserve">Lokalny Program Rewitalizacji Miasta Krośniewice na lata 2014 -2022 jest dokumentem ponadkadencyjnym, określającym cele i programy działań na kilka lat oraz wymagającym ciągłej pracy nad podnoszeniem jego jakości. </w:t>
      </w:r>
      <w:r w:rsidR="00131763">
        <w:rPr>
          <w:rFonts w:asciiTheme="minorHAnsi" w:hAnsiTheme="minorHAnsi" w:cstheme="minorHAnsi"/>
          <w:sz w:val="24"/>
          <w:szCs w:val="24"/>
        </w:rPr>
        <w:t>Ówcześnie, z</w:t>
      </w:r>
      <w:r w:rsidR="00FA3E72" w:rsidRPr="00FA3E72">
        <w:rPr>
          <w:rFonts w:asciiTheme="minorHAnsi" w:hAnsiTheme="minorHAnsi" w:cstheme="minorHAnsi"/>
          <w:sz w:val="24"/>
          <w:szCs w:val="24"/>
        </w:rPr>
        <w:t xml:space="preserve">a obszar wymagający rewitalizacji uznano </w:t>
      </w:r>
      <w:r w:rsidR="00FA3E72" w:rsidRPr="00FA3E72">
        <w:rPr>
          <w:rFonts w:asciiTheme="minorHAnsi" w:hAnsiTheme="minorHAnsi" w:cstheme="minorHAnsi"/>
          <w:b/>
          <w:bCs/>
          <w:sz w:val="24"/>
          <w:szCs w:val="24"/>
        </w:rPr>
        <w:t>ścisłe centrum miasta Krośniewice</w:t>
      </w:r>
      <w:r w:rsidR="00FA3E72">
        <w:rPr>
          <w:rFonts w:asciiTheme="minorHAnsi" w:hAnsiTheme="minorHAnsi" w:cstheme="minorHAnsi"/>
          <w:sz w:val="24"/>
          <w:szCs w:val="24"/>
        </w:rPr>
        <w:t xml:space="preserve"> </w:t>
      </w:r>
      <w:r w:rsidR="00FA3E72" w:rsidRPr="00FA3E72">
        <w:rPr>
          <w:rFonts w:asciiTheme="minorHAnsi" w:hAnsiTheme="minorHAnsi" w:cstheme="minorHAnsi"/>
          <w:sz w:val="24"/>
          <w:szCs w:val="24"/>
        </w:rPr>
        <w:t>z przyległą zabudową. Jest to zabytkowa część miasta posiadająca największe</w:t>
      </w:r>
      <w:r w:rsidR="00FA3E72">
        <w:rPr>
          <w:rFonts w:asciiTheme="minorHAnsi" w:hAnsiTheme="minorHAnsi" w:cstheme="minorHAnsi"/>
          <w:sz w:val="24"/>
          <w:szCs w:val="24"/>
        </w:rPr>
        <w:t xml:space="preserve"> </w:t>
      </w:r>
      <w:r w:rsidR="00FA3E72" w:rsidRPr="00FA3E72">
        <w:rPr>
          <w:rFonts w:asciiTheme="minorHAnsi" w:hAnsiTheme="minorHAnsi" w:cstheme="minorHAnsi"/>
          <w:sz w:val="24"/>
          <w:szCs w:val="24"/>
        </w:rPr>
        <w:t>braki infrastrukturalne oraz największa ilość zjawisk patologicznych,</w:t>
      </w:r>
      <w:r w:rsidR="00FA3E72">
        <w:rPr>
          <w:rFonts w:asciiTheme="minorHAnsi" w:hAnsiTheme="minorHAnsi" w:cstheme="minorHAnsi"/>
          <w:sz w:val="24"/>
          <w:szCs w:val="24"/>
        </w:rPr>
        <w:t xml:space="preserve"> </w:t>
      </w:r>
      <w:r w:rsidR="00FA3E72" w:rsidRPr="00FA3E72">
        <w:rPr>
          <w:rFonts w:asciiTheme="minorHAnsi" w:hAnsiTheme="minorHAnsi" w:cstheme="minorHAnsi"/>
          <w:sz w:val="24"/>
          <w:szCs w:val="24"/>
        </w:rPr>
        <w:t>przestępczości i problemów w rodzinie na tle całego miasta. Większość budynków</w:t>
      </w:r>
      <w:r w:rsidR="00FA3E72">
        <w:rPr>
          <w:rFonts w:asciiTheme="minorHAnsi" w:hAnsiTheme="minorHAnsi" w:cstheme="minorHAnsi"/>
          <w:sz w:val="24"/>
          <w:szCs w:val="24"/>
        </w:rPr>
        <w:t xml:space="preserve"> </w:t>
      </w:r>
      <w:r w:rsidR="00FA3E72" w:rsidRPr="00FA3E72">
        <w:rPr>
          <w:rFonts w:asciiTheme="minorHAnsi" w:hAnsiTheme="minorHAnsi" w:cstheme="minorHAnsi"/>
          <w:sz w:val="24"/>
          <w:szCs w:val="24"/>
        </w:rPr>
        <w:t>w tej strefie stanowią budynki wielorodzinne.</w:t>
      </w:r>
      <w:r w:rsidR="00131763">
        <w:rPr>
          <w:rFonts w:asciiTheme="minorHAnsi" w:hAnsiTheme="minorHAnsi" w:cstheme="minorHAnsi"/>
          <w:sz w:val="24"/>
          <w:szCs w:val="24"/>
        </w:rPr>
        <w:t xml:space="preserve"> Aktualnie prowadzone prace analityczne potwierdzają te ustalenia. </w:t>
      </w:r>
    </w:p>
    <w:p w14:paraId="51CC3592" w14:textId="4725751A" w:rsidR="00FA3E72" w:rsidRDefault="002E16DF" w:rsidP="0005262A">
      <w:pPr>
        <w:spacing w:before="120" w:after="0" w:line="264" w:lineRule="auto"/>
        <w:rPr>
          <w:rFonts w:asciiTheme="minorHAnsi" w:hAnsiTheme="minorHAnsi" w:cstheme="minorHAnsi"/>
          <w:sz w:val="24"/>
          <w:szCs w:val="24"/>
        </w:rPr>
      </w:pPr>
      <w:r>
        <w:rPr>
          <w:rFonts w:asciiTheme="minorHAnsi" w:hAnsiTheme="minorHAnsi" w:cstheme="minorHAnsi"/>
          <w:sz w:val="24"/>
          <w:szCs w:val="24"/>
        </w:rPr>
        <w:t xml:space="preserve">Na przestrzeni ostatnich lat </w:t>
      </w:r>
      <w:r w:rsidR="009943D1" w:rsidRPr="009943D1">
        <w:rPr>
          <w:rFonts w:asciiTheme="minorHAnsi" w:hAnsiTheme="minorHAnsi" w:cstheme="minorHAnsi"/>
          <w:sz w:val="24"/>
          <w:szCs w:val="24"/>
        </w:rPr>
        <w:t xml:space="preserve">Gmina zdobyła </w:t>
      </w:r>
      <w:r w:rsidR="009943D1" w:rsidRPr="00FA3E72">
        <w:rPr>
          <w:rFonts w:asciiTheme="minorHAnsi" w:hAnsiTheme="minorHAnsi" w:cstheme="minorHAnsi"/>
          <w:sz w:val="24"/>
          <w:szCs w:val="24"/>
        </w:rPr>
        <w:t xml:space="preserve">pozytywne </w:t>
      </w:r>
      <w:r w:rsidR="009943D1" w:rsidRPr="00FA3E72">
        <w:rPr>
          <w:rFonts w:asciiTheme="minorHAnsi" w:hAnsiTheme="minorHAnsi" w:cstheme="minorHAnsi"/>
          <w:b/>
          <w:bCs/>
          <w:sz w:val="24"/>
          <w:szCs w:val="24"/>
        </w:rPr>
        <w:t>doświadczenia w realizacji projektów rewitalizacyjnych</w:t>
      </w:r>
      <w:r w:rsidR="009943D1" w:rsidRPr="00FA3E72">
        <w:rPr>
          <w:rFonts w:asciiTheme="minorHAnsi" w:hAnsiTheme="minorHAnsi" w:cstheme="minorHAnsi"/>
          <w:sz w:val="24"/>
          <w:szCs w:val="24"/>
        </w:rPr>
        <w:t>,</w:t>
      </w:r>
      <w:r w:rsidR="009943D1" w:rsidRPr="009943D1">
        <w:rPr>
          <w:rFonts w:asciiTheme="minorHAnsi" w:hAnsiTheme="minorHAnsi" w:cstheme="minorHAnsi"/>
          <w:sz w:val="24"/>
          <w:szCs w:val="24"/>
        </w:rPr>
        <w:t xml:space="preserve"> szczególnie dzięki zewnętrznemu wsparciu finansowemu i zaangażowaniu lokalnej społeczności. Przykładem udanej inwestycji jest</w:t>
      </w:r>
      <w:r w:rsidR="003D3512" w:rsidRPr="003D3512">
        <w:t xml:space="preserve"> </w:t>
      </w:r>
      <w:r w:rsidR="003D3512">
        <w:t>projekt „</w:t>
      </w:r>
      <w:r w:rsidR="003D3512" w:rsidRPr="003D3512">
        <w:rPr>
          <w:rFonts w:asciiTheme="minorHAnsi" w:hAnsiTheme="minorHAnsi" w:cstheme="minorHAnsi"/>
          <w:sz w:val="24"/>
          <w:szCs w:val="24"/>
        </w:rPr>
        <w:t>Budowa, rozbudowa i przebudowa dróg i ulic do terenów przemysłowych położonych na terenie Miasta Krośniewice</w:t>
      </w:r>
      <w:r w:rsidR="003D3512">
        <w:rPr>
          <w:rFonts w:asciiTheme="minorHAnsi" w:hAnsiTheme="minorHAnsi" w:cstheme="minorHAnsi"/>
          <w:sz w:val="24"/>
          <w:szCs w:val="24"/>
        </w:rPr>
        <w:t xml:space="preserve">”. Środki pozyskano w 2024 roku </w:t>
      </w:r>
      <w:r w:rsidR="003D3512" w:rsidRPr="003D3512">
        <w:rPr>
          <w:rFonts w:asciiTheme="minorHAnsi" w:hAnsiTheme="minorHAnsi" w:cstheme="minorHAnsi"/>
          <w:sz w:val="24"/>
          <w:szCs w:val="24"/>
        </w:rPr>
        <w:t>w ramach Rządowego Fundusz Polski Ład: Program Inwestycji Strategicznych</w:t>
      </w:r>
      <w:r w:rsidR="003D3512">
        <w:rPr>
          <w:rFonts w:asciiTheme="minorHAnsi" w:hAnsiTheme="minorHAnsi" w:cstheme="minorHAnsi"/>
          <w:sz w:val="24"/>
          <w:szCs w:val="24"/>
        </w:rPr>
        <w:t xml:space="preserve">, całkowita wartość inwestycji wyniosła 21,9 mln zł, z czego dofinansowanie 21,2 mln zł. </w:t>
      </w:r>
      <w:r w:rsidR="003D3512" w:rsidRPr="003D3512">
        <w:rPr>
          <w:rFonts w:asciiTheme="minorHAnsi" w:hAnsiTheme="minorHAnsi" w:cstheme="minorHAnsi"/>
          <w:sz w:val="24"/>
          <w:szCs w:val="24"/>
        </w:rPr>
        <w:t xml:space="preserve">Przedmiotem inwestycji </w:t>
      </w:r>
      <w:r w:rsidR="003D3512">
        <w:rPr>
          <w:rFonts w:asciiTheme="minorHAnsi" w:hAnsiTheme="minorHAnsi" w:cstheme="minorHAnsi"/>
          <w:sz w:val="24"/>
          <w:szCs w:val="24"/>
        </w:rPr>
        <w:t xml:space="preserve">była </w:t>
      </w:r>
      <w:r w:rsidR="003D3512" w:rsidRPr="003D3512">
        <w:rPr>
          <w:rFonts w:asciiTheme="minorHAnsi" w:hAnsiTheme="minorHAnsi" w:cstheme="minorHAnsi"/>
          <w:sz w:val="24"/>
          <w:szCs w:val="24"/>
        </w:rPr>
        <w:t>budowa, rozbudowa i przebudowa dróg i ulic do terenów przemysłowych położonych na terenie miasta Krośniewice, komunikujących te tereny z obwodnicą miasta Krośniewice a następnie z drogami krajowymi nr 91 i 92 oraz bezpośrednio z drogą  wojewódzką Nr 581 relacji Krośniewice – Gostynin.</w:t>
      </w:r>
      <w:r w:rsidR="003D3512">
        <w:rPr>
          <w:rFonts w:asciiTheme="minorHAnsi" w:hAnsiTheme="minorHAnsi" w:cstheme="minorHAnsi"/>
          <w:sz w:val="24"/>
          <w:szCs w:val="24"/>
        </w:rPr>
        <w:t xml:space="preserve"> </w:t>
      </w:r>
      <w:r w:rsidR="003D3512" w:rsidRPr="003D3512">
        <w:rPr>
          <w:rFonts w:asciiTheme="minorHAnsi" w:hAnsiTheme="minorHAnsi" w:cstheme="minorHAnsi"/>
          <w:sz w:val="24"/>
          <w:szCs w:val="24"/>
        </w:rPr>
        <w:t>Inwestycja obej</w:t>
      </w:r>
      <w:r w:rsidR="003D3512">
        <w:rPr>
          <w:rFonts w:asciiTheme="minorHAnsi" w:hAnsiTheme="minorHAnsi" w:cstheme="minorHAnsi"/>
          <w:sz w:val="24"/>
          <w:szCs w:val="24"/>
        </w:rPr>
        <w:t>mowała</w:t>
      </w:r>
      <w:r w:rsidR="003D3512" w:rsidRPr="003D3512">
        <w:rPr>
          <w:rFonts w:asciiTheme="minorHAnsi" w:hAnsiTheme="minorHAnsi" w:cstheme="minorHAnsi"/>
          <w:sz w:val="24"/>
          <w:szCs w:val="24"/>
        </w:rPr>
        <w:t xml:space="preserve"> budowę, rozbudowę i przebudowę dróg i ulic do terenów przemysłowych o łącznej długości ponad 3 km, wraz z pełną infrastrukturą techniczną tj. kanalizacją sanitarną, siecią wodociągową, kanalizacją deszczową, oświetleniem, kanałami technologicznymi</w:t>
      </w:r>
      <w:r w:rsidR="009943D1">
        <w:rPr>
          <w:rStyle w:val="Odwoanieprzypisudolnego"/>
          <w:rFonts w:asciiTheme="minorHAnsi" w:hAnsiTheme="minorHAnsi"/>
          <w:sz w:val="24"/>
          <w:szCs w:val="24"/>
        </w:rPr>
        <w:footnoteReference w:id="2"/>
      </w:r>
      <w:r w:rsidR="009943D1" w:rsidRPr="009943D1">
        <w:rPr>
          <w:rFonts w:asciiTheme="minorHAnsi" w:hAnsiTheme="minorHAnsi" w:cstheme="minorHAnsi"/>
          <w:sz w:val="24"/>
          <w:szCs w:val="24"/>
        </w:rPr>
        <w:t>.</w:t>
      </w:r>
      <w:r w:rsidR="00A46264">
        <w:rPr>
          <w:rFonts w:asciiTheme="minorHAnsi" w:hAnsiTheme="minorHAnsi" w:cstheme="minorHAnsi"/>
          <w:sz w:val="24"/>
          <w:szCs w:val="24"/>
        </w:rPr>
        <w:t xml:space="preserve"> </w:t>
      </w:r>
      <w:r w:rsidR="003D3512" w:rsidRPr="003D3512">
        <w:rPr>
          <w:rFonts w:asciiTheme="minorHAnsi" w:hAnsiTheme="minorHAnsi" w:cstheme="minorHAnsi"/>
          <w:sz w:val="24"/>
          <w:szCs w:val="24"/>
        </w:rPr>
        <w:t xml:space="preserve">Podjęcie działań rewitalizacyjnych traktowane </w:t>
      </w:r>
      <w:r w:rsidR="003D3512">
        <w:rPr>
          <w:rFonts w:asciiTheme="minorHAnsi" w:hAnsiTheme="minorHAnsi" w:cstheme="minorHAnsi"/>
          <w:sz w:val="24"/>
          <w:szCs w:val="24"/>
        </w:rPr>
        <w:t xml:space="preserve">było </w:t>
      </w:r>
      <w:r w:rsidR="003D3512" w:rsidRPr="003D3512">
        <w:rPr>
          <w:rFonts w:asciiTheme="minorHAnsi" w:hAnsiTheme="minorHAnsi" w:cstheme="minorHAnsi"/>
          <w:sz w:val="24"/>
          <w:szCs w:val="24"/>
        </w:rPr>
        <w:t xml:space="preserve">jako jeden z elementów tworzenia produktu turystycznego – </w:t>
      </w:r>
      <w:r w:rsidR="003D3512">
        <w:rPr>
          <w:rFonts w:asciiTheme="minorHAnsi" w:hAnsiTheme="minorHAnsi" w:cstheme="minorHAnsi"/>
          <w:sz w:val="24"/>
          <w:szCs w:val="24"/>
        </w:rPr>
        <w:t xml:space="preserve">w LPR wskazano w szczególności potrzebę realizacji projektu </w:t>
      </w:r>
      <w:r w:rsidR="00471510">
        <w:rPr>
          <w:rFonts w:asciiTheme="minorHAnsi" w:hAnsiTheme="minorHAnsi" w:cstheme="minorHAnsi"/>
          <w:sz w:val="24"/>
          <w:szCs w:val="24"/>
        </w:rPr>
        <w:t>pn. „</w:t>
      </w:r>
      <w:r w:rsidR="00471510" w:rsidRPr="00471510">
        <w:rPr>
          <w:rFonts w:asciiTheme="minorHAnsi" w:hAnsiTheme="minorHAnsi" w:cstheme="minorHAnsi"/>
          <w:sz w:val="24"/>
          <w:szCs w:val="24"/>
        </w:rPr>
        <w:t>Rewitalizacja terenów po Krośniewickiej Kolei Dojazdowej</w:t>
      </w:r>
      <w:r w:rsidR="00471510">
        <w:rPr>
          <w:rFonts w:asciiTheme="minorHAnsi" w:hAnsiTheme="minorHAnsi" w:cstheme="minorHAnsi"/>
          <w:sz w:val="24"/>
          <w:szCs w:val="24"/>
        </w:rPr>
        <w:t xml:space="preserve">” oraz </w:t>
      </w:r>
      <w:r w:rsidR="00471510" w:rsidRPr="00471510">
        <w:rPr>
          <w:rFonts w:asciiTheme="minorHAnsi" w:hAnsiTheme="minorHAnsi" w:cstheme="minorHAnsi"/>
          <w:sz w:val="24"/>
          <w:szCs w:val="24"/>
        </w:rPr>
        <w:t>rewitalizacja zespołu parkowo – pałacowego Rodziny Rembielińskich</w:t>
      </w:r>
      <w:r w:rsidR="00471510">
        <w:rPr>
          <w:rFonts w:asciiTheme="minorHAnsi" w:hAnsiTheme="minorHAnsi" w:cstheme="minorHAnsi"/>
          <w:sz w:val="24"/>
          <w:szCs w:val="24"/>
        </w:rPr>
        <w:t xml:space="preserve">. </w:t>
      </w:r>
      <w:r w:rsidR="00A46264" w:rsidRPr="00A46264">
        <w:rPr>
          <w:rFonts w:asciiTheme="minorHAnsi" w:hAnsiTheme="minorHAnsi" w:cstheme="minorHAnsi"/>
          <w:sz w:val="24"/>
          <w:szCs w:val="24"/>
        </w:rPr>
        <w:t xml:space="preserve">Podobnie udane okazały się kolejne projekty </w:t>
      </w:r>
      <w:r>
        <w:rPr>
          <w:rFonts w:asciiTheme="minorHAnsi" w:hAnsiTheme="minorHAnsi" w:cstheme="minorHAnsi"/>
          <w:sz w:val="24"/>
          <w:szCs w:val="24"/>
        </w:rPr>
        <w:t xml:space="preserve">mogące zostać zaliczone do projektów </w:t>
      </w:r>
      <w:r w:rsidR="00A46264" w:rsidRPr="00A46264">
        <w:rPr>
          <w:rFonts w:asciiTheme="minorHAnsi" w:hAnsiTheme="minorHAnsi" w:cstheme="minorHAnsi"/>
          <w:sz w:val="24"/>
          <w:szCs w:val="24"/>
        </w:rPr>
        <w:t>rewitalizacyjn</w:t>
      </w:r>
      <w:r>
        <w:rPr>
          <w:rFonts w:asciiTheme="minorHAnsi" w:hAnsiTheme="minorHAnsi" w:cstheme="minorHAnsi"/>
          <w:sz w:val="24"/>
          <w:szCs w:val="24"/>
        </w:rPr>
        <w:t>ych w rozumieniu przepisów o rewitalizacji</w:t>
      </w:r>
      <w:r w:rsidR="00A46264" w:rsidRPr="00A46264">
        <w:rPr>
          <w:rFonts w:asciiTheme="minorHAnsi" w:hAnsiTheme="minorHAnsi" w:cstheme="minorHAnsi"/>
          <w:sz w:val="24"/>
          <w:szCs w:val="24"/>
        </w:rPr>
        <w:t xml:space="preserve">, </w:t>
      </w:r>
      <w:r>
        <w:rPr>
          <w:rFonts w:asciiTheme="minorHAnsi" w:hAnsiTheme="minorHAnsi" w:cstheme="minorHAnsi"/>
          <w:sz w:val="24"/>
          <w:szCs w:val="24"/>
        </w:rPr>
        <w:t xml:space="preserve">tj. </w:t>
      </w:r>
      <w:r w:rsidR="003D3512">
        <w:rPr>
          <w:rFonts w:asciiTheme="minorHAnsi" w:hAnsiTheme="minorHAnsi" w:cstheme="minorHAnsi"/>
          <w:sz w:val="24"/>
          <w:szCs w:val="24"/>
        </w:rPr>
        <w:t>projekt „</w:t>
      </w:r>
      <w:r w:rsidR="003D3512" w:rsidRPr="003D3512">
        <w:rPr>
          <w:rFonts w:asciiTheme="minorHAnsi" w:hAnsiTheme="minorHAnsi" w:cstheme="minorHAnsi"/>
          <w:sz w:val="24"/>
          <w:szCs w:val="24"/>
        </w:rPr>
        <w:t>Uporządkowanie zabytkowego Parku Rembielińskich w Zespole Pałacowo - Parkowym w Krośniewicach</w:t>
      </w:r>
      <w:r w:rsidR="003D3512">
        <w:rPr>
          <w:rFonts w:asciiTheme="minorHAnsi" w:hAnsiTheme="minorHAnsi" w:cstheme="minorHAnsi"/>
          <w:sz w:val="24"/>
          <w:szCs w:val="24"/>
        </w:rPr>
        <w:t xml:space="preserve">”. </w:t>
      </w:r>
      <w:r w:rsidR="003D3512" w:rsidRPr="003D3512">
        <w:rPr>
          <w:rFonts w:asciiTheme="minorHAnsi" w:hAnsiTheme="minorHAnsi" w:cstheme="minorHAnsi"/>
          <w:sz w:val="24"/>
          <w:szCs w:val="24"/>
        </w:rPr>
        <w:t xml:space="preserve">Inwestycja </w:t>
      </w:r>
      <w:r w:rsidR="003D3512">
        <w:rPr>
          <w:rFonts w:asciiTheme="minorHAnsi" w:hAnsiTheme="minorHAnsi" w:cstheme="minorHAnsi"/>
          <w:sz w:val="24"/>
          <w:szCs w:val="24"/>
        </w:rPr>
        <w:t>z</w:t>
      </w:r>
      <w:r w:rsidR="003D3512" w:rsidRPr="003D3512">
        <w:rPr>
          <w:rFonts w:asciiTheme="minorHAnsi" w:hAnsiTheme="minorHAnsi" w:cstheme="minorHAnsi"/>
          <w:sz w:val="24"/>
          <w:szCs w:val="24"/>
        </w:rPr>
        <w:t>realizo</w:t>
      </w:r>
      <w:r w:rsidR="003D3512">
        <w:rPr>
          <w:rFonts w:asciiTheme="minorHAnsi" w:hAnsiTheme="minorHAnsi" w:cstheme="minorHAnsi"/>
          <w:sz w:val="24"/>
          <w:szCs w:val="24"/>
        </w:rPr>
        <w:t xml:space="preserve">wana została </w:t>
      </w:r>
      <w:r w:rsidR="003D3512" w:rsidRPr="003D3512">
        <w:rPr>
          <w:rFonts w:asciiTheme="minorHAnsi" w:hAnsiTheme="minorHAnsi" w:cstheme="minorHAnsi"/>
          <w:sz w:val="24"/>
          <w:szCs w:val="24"/>
        </w:rPr>
        <w:t>w ramach Rządowego Programu Odbudowy zabytków</w:t>
      </w:r>
      <w:r w:rsidR="003D3512">
        <w:rPr>
          <w:rFonts w:asciiTheme="minorHAnsi" w:hAnsiTheme="minorHAnsi" w:cstheme="minorHAnsi"/>
          <w:sz w:val="24"/>
          <w:szCs w:val="24"/>
        </w:rPr>
        <w:t>; d</w:t>
      </w:r>
      <w:r w:rsidR="003D3512" w:rsidRPr="003D3512">
        <w:rPr>
          <w:rFonts w:asciiTheme="minorHAnsi" w:hAnsiTheme="minorHAnsi" w:cstheme="minorHAnsi"/>
          <w:sz w:val="24"/>
          <w:szCs w:val="24"/>
        </w:rPr>
        <w:t>ofinansowani</w:t>
      </w:r>
      <w:r w:rsidR="003D3512">
        <w:rPr>
          <w:rFonts w:asciiTheme="minorHAnsi" w:hAnsiTheme="minorHAnsi" w:cstheme="minorHAnsi"/>
          <w:sz w:val="24"/>
          <w:szCs w:val="24"/>
        </w:rPr>
        <w:t>e wyniosło</w:t>
      </w:r>
      <w:r w:rsidR="003D3512" w:rsidRPr="003D3512">
        <w:rPr>
          <w:rFonts w:asciiTheme="minorHAnsi" w:hAnsiTheme="minorHAnsi" w:cstheme="minorHAnsi"/>
          <w:sz w:val="24"/>
          <w:szCs w:val="24"/>
        </w:rPr>
        <w:t xml:space="preserve"> 328 </w:t>
      </w:r>
      <w:r w:rsidR="003D3512">
        <w:rPr>
          <w:rFonts w:asciiTheme="minorHAnsi" w:hAnsiTheme="minorHAnsi" w:cstheme="minorHAnsi"/>
          <w:sz w:val="24"/>
          <w:szCs w:val="24"/>
        </w:rPr>
        <w:t xml:space="preserve">tys. </w:t>
      </w:r>
      <w:r w:rsidR="003D3512" w:rsidRPr="003D3512">
        <w:rPr>
          <w:rFonts w:asciiTheme="minorHAnsi" w:hAnsiTheme="minorHAnsi" w:cstheme="minorHAnsi"/>
          <w:sz w:val="24"/>
          <w:szCs w:val="24"/>
        </w:rPr>
        <w:t>zł</w:t>
      </w:r>
      <w:r w:rsidR="003D3512">
        <w:rPr>
          <w:rFonts w:asciiTheme="minorHAnsi" w:hAnsiTheme="minorHAnsi" w:cstheme="minorHAnsi"/>
          <w:sz w:val="24"/>
          <w:szCs w:val="24"/>
        </w:rPr>
        <w:t xml:space="preserve"> przy całkowitej wartości projektu </w:t>
      </w:r>
      <w:r w:rsidR="003D3512" w:rsidRPr="003D3512">
        <w:rPr>
          <w:rFonts w:asciiTheme="minorHAnsi" w:hAnsiTheme="minorHAnsi" w:cstheme="minorHAnsi"/>
          <w:sz w:val="24"/>
          <w:szCs w:val="24"/>
        </w:rPr>
        <w:t xml:space="preserve">334 </w:t>
      </w:r>
      <w:r w:rsidR="003D3512">
        <w:rPr>
          <w:rFonts w:asciiTheme="minorHAnsi" w:hAnsiTheme="minorHAnsi" w:cstheme="minorHAnsi"/>
          <w:sz w:val="24"/>
          <w:szCs w:val="24"/>
        </w:rPr>
        <w:t xml:space="preserve">tys. zł. </w:t>
      </w:r>
    </w:p>
    <w:p w14:paraId="1D9277C2" w14:textId="3A77E754" w:rsidR="00A46264" w:rsidRDefault="00A46264" w:rsidP="0005262A">
      <w:pPr>
        <w:spacing w:before="120" w:after="0" w:line="264" w:lineRule="auto"/>
        <w:rPr>
          <w:rFonts w:asciiTheme="minorHAnsi" w:hAnsiTheme="minorHAnsi" w:cstheme="minorHAnsi"/>
          <w:sz w:val="24"/>
          <w:szCs w:val="24"/>
        </w:rPr>
      </w:pPr>
      <w:r w:rsidRPr="00A46264">
        <w:rPr>
          <w:rFonts w:asciiTheme="minorHAnsi" w:hAnsiTheme="minorHAnsi" w:cstheme="minorHAnsi"/>
          <w:sz w:val="24"/>
          <w:szCs w:val="24"/>
        </w:rPr>
        <w:t xml:space="preserve">Wnioski z dotychczasowych doświadczeń Gminy </w:t>
      </w:r>
      <w:r>
        <w:rPr>
          <w:rFonts w:asciiTheme="minorHAnsi" w:hAnsiTheme="minorHAnsi" w:cstheme="minorHAnsi"/>
          <w:sz w:val="24"/>
          <w:szCs w:val="24"/>
        </w:rPr>
        <w:t>wskazują na k</w:t>
      </w:r>
      <w:r w:rsidRPr="00A46264">
        <w:rPr>
          <w:rFonts w:asciiTheme="minorHAnsi" w:hAnsiTheme="minorHAnsi" w:cstheme="minorHAnsi"/>
          <w:sz w:val="24"/>
          <w:szCs w:val="24"/>
        </w:rPr>
        <w:t>luczowe czynniki sukcesu</w:t>
      </w:r>
      <w:r w:rsidR="000D038F">
        <w:rPr>
          <w:rFonts w:asciiTheme="minorHAnsi" w:hAnsiTheme="minorHAnsi" w:cstheme="minorHAnsi"/>
          <w:sz w:val="24"/>
          <w:szCs w:val="24"/>
        </w:rPr>
        <w:t>, jakimi było</w:t>
      </w:r>
      <w:r w:rsidRPr="00A46264">
        <w:rPr>
          <w:rFonts w:asciiTheme="minorHAnsi" w:hAnsiTheme="minorHAnsi" w:cstheme="minorHAnsi"/>
          <w:sz w:val="24"/>
          <w:szCs w:val="24"/>
        </w:rPr>
        <w:t xml:space="preserve"> </w:t>
      </w:r>
      <w:r w:rsidR="000D038F" w:rsidRPr="00FA3E72">
        <w:rPr>
          <w:rFonts w:asciiTheme="minorHAnsi" w:hAnsiTheme="minorHAnsi" w:cstheme="minorHAnsi"/>
          <w:b/>
          <w:bCs/>
          <w:sz w:val="24"/>
          <w:szCs w:val="24"/>
        </w:rPr>
        <w:t>z</w:t>
      </w:r>
      <w:r w:rsidRPr="00FA3E72">
        <w:rPr>
          <w:rFonts w:asciiTheme="minorHAnsi" w:hAnsiTheme="minorHAnsi" w:cstheme="minorHAnsi"/>
          <w:b/>
          <w:bCs/>
          <w:sz w:val="24"/>
          <w:szCs w:val="24"/>
        </w:rPr>
        <w:t>ewnętrzne finansowanie z UE i budżetu państwa</w:t>
      </w:r>
      <w:r w:rsidRPr="00A46264">
        <w:rPr>
          <w:rFonts w:asciiTheme="minorHAnsi" w:hAnsiTheme="minorHAnsi" w:cstheme="minorHAnsi"/>
          <w:sz w:val="24"/>
          <w:szCs w:val="24"/>
        </w:rPr>
        <w:t>, a także aktywna partycypacja mieszkańców oraz lokalnych liderów w procesie konsultacji, projektowania i realizacji</w:t>
      </w:r>
      <w:r w:rsidR="000D038F">
        <w:rPr>
          <w:rFonts w:asciiTheme="minorHAnsi" w:hAnsiTheme="minorHAnsi" w:cstheme="minorHAnsi"/>
          <w:sz w:val="24"/>
          <w:szCs w:val="24"/>
        </w:rPr>
        <w:t>; r</w:t>
      </w:r>
      <w:r w:rsidRPr="00A46264">
        <w:rPr>
          <w:rFonts w:asciiTheme="minorHAnsi" w:hAnsiTheme="minorHAnsi" w:cstheme="minorHAnsi"/>
          <w:sz w:val="24"/>
          <w:szCs w:val="24"/>
        </w:rPr>
        <w:t xml:space="preserve">ezultaty rewitalizacji: </w:t>
      </w:r>
      <w:r w:rsidR="000D038F">
        <w:rPr>
          <w:rFonts w:asciiTheme="minorHAnsi" w:hAnsiTheme="minorHAnsi" w:cstheme="minorHAnsi"/>
          <w:sz w:val="24"/>
          <w:szCs w:val="24"/>
        </w:rPr>
        <w:t>p</w:t>
      </w:r>
      <w:r w:rsidRPr="00A46264">
        <w:rPr>
          <w:rFonts w:asciiTheme="minorHAnsi" w:hAnsiTheme="minorHAnsi" w:cstheme="minorHAnsi"/>
          <w:sz w:val="24"/>
          <w:szCs w:val="24"/>
        </w:rPr>
        <w:t xml:space="preserve">oprawa jakości życia mieszkańców, wzrost walorów rekreacyjnych, kulturowych i społecznych, zwiększone bezpieczeństwo oraz podniesienie </w:t>
      </w:r>
      <w:r w:rsidRPr="00471510">
        <w:rPr>
          <w:rFonts w:asciiTheme="minorHAnsi" w:hAnsiTheme="minorHAnsi" w:cstheme="minorHAnsi"/>
          <w:b/>
          <w:bCs/>
          <w:sz w:val="24"/>
          <w:szCs w:val="24"/>
        </w:rPr>
        <w:t xml:space="preserve">potencjału </w:t>
      </w:r>
      <w:r w:rsidR="00131763">
        <w:rPr>
          <w:rFonts w:asciiTheme="minorHAnsi" w:hAnsiTheme="minorHAnsi" w:cstheme="minorHAnsi"/>
          <w:b/>
          <w:bCs/>
          <w:sz w:val="24"/>
          <w:szCs w:val="24"/>
        </w:rPr>
        <w:t>terenu miejskiego Krośniewic,</w:t>
      </w:r>
      <w:r w:rsidRPr="00471510">
        <w:rPr>
          <w:rFonts w:asciiTheme="minorHAnsi" w:hAnsiTheme="minorHAnsi" w:cstheme="minorHAnsi"/>
          <w:b/>
          <w:bCs/>
          <w:sz w:val="24"/>
          <w:szCs w:val="24"/>
        </w:rPr>
        <w:t xml:space="preserve"> jako centrum</w:t>
      </w:r>
      <w:r w:rsidRPr="00A46264">
        <w:rPr>
          <w:rFonts w:asciiTheme="minorHAnsi" w:hAnsiTheme="minorHAnsi" w:cstheme="minorHAnsi"/>
          <w:sz w:val="24"/>
          <w:szCs w:val="24"/>
        </w:rPr>
        <w:t xml:space="preserve"> </w:t>
      </w:r>
      <w:r w:rsidRPr="00131763">
        <w:rPr>
          <w:rFonts w:asciiTheme="minorHAnsi" w:hAnsiTheme="minorHAnsi" w:cstheme="minorHAnsi"/>
          <w:b/>
          <w:bCs/>
          <w:sz w:val="24"/>
          <w:szCs w:val="24"/>
        </w:rPr>
        <w:t>wypoczynku i integracji</w:t>
      </w:r>
      <w:r w:rsidR="000D038F">
        <w:rPr>
          <w:rFonts w:asciiTheme="minorHAnsi" w:hAnsiTheme="minorHAnsi" w:cstheme="minorHAnsi"/>
          <w:sz w:val="24"/>
          <w:szCs w:val="24"/>
        </w:rPr>
        <w:t>; s</w:t>
      </w:r>
      <w:r w:rsidRPr="00A46264">
        <w:rPr>
          <w:rFonts w:asciiTheme="minorHAnsi" w:hAnsiTheme="minorHAnsi" w:cstheme="minorHAnsi"/>
          <w:sz w:val="24"/>
          <w:szCs w:val="24"/>
        </w:rPr>
        <w:t xml:space="preserve">ystemowy charakter działań: </w:t>
      </w:r>
      <w:r w:rsidR="000D038F">
        <w:rPr>
          <w:rFonts w:asciiTheme="minorHAnsi" w:hAnsiTheme="minorHAnsi" w:cstheme="minorHAnsi"/>
          <w:sz w:val="24"/>
          <w:szCs w:val="24"/>
        </w:rPr>
        <w:t>p</w:t>
      </w:r>
      <w:r w:rsidRPr="00A46264">
        <w:rPr>
          <w:rFonts w:asciiTheme="minorHAnsi" w:hAnsiTheme="minorHAnsi" w:cstheme="minorHAnsi"/>
          <w:sz w:val="24"/>
          <w:szCs w:val="24"/>
        </w:rPr>
        <w:t>rojekty rewitalizacyjne były kompleksowe, dotyczyły zarówno infrastruktury, jak i oferty społeczno-kulturalnej oraz wsparcia grup szczególnie potrzebujących - seniorów i osób zagrożonych wykluczeniem społecznym</w:t>
      </w:r>
      <w:r>
        <w:rPr>
          <w:rFonts w:asciiTheme="minorHAnsi" w:hAnsiTheme="minorHAnsi" w:cstheme="minorHAnsi"/>
          <w:sz w:val="24"/>
          <w:szCs w:val="24"/>
        </w:rPr>
        <w:t>, finalnie - t</w:t>
      </w:r>
      <w:r w:rsidRPr="00A46264">
        <w:rPr>
          <w:rFonts w:asciiTheme="minorHAnsi" w:hAnsiTheme="minorHAnsi" w:cstheme="minorHAnsi"/>
          <w:sz w:val="24"/>
          <w:szCs w:val="24"/>
        </w:rPr>
        <w:t xml:space="preserve">rwały efekt: Realizowane inicjatywy przyczyniają się do długofalowej odnowy tkanki miejskiej, poprawy stanu środowiska, promocji aktywności lokalnych i </w:t>
      </w:r>
      <w:r w:rsidRPr="00A46264">
        <w:rPr>
          <w:rFonts w:asciiTheme="minorHAnsi" w:hAnsiTheme="minorHAnsi" w:cstheme="minorHAnsi"/>
          <w:sz w:val="24"/>
          <w:szCs w:val="24"/>
        </w:rPr>
        <w:lastRenderedPageBreak/>
        <w:t>tworzenia przyjaznej przestrzeni do życia oraz inwestowania.</w:t>
      </w:r>
      <w:r>
        <w:rPr>
          <w:rFonts w:asciiTheme="minorHAnsi" w:hAnsiTheme="minorHAnsi" w:cstheme="minorHAnsi"/>
          <w:sz w:val="24"/>
          <w:szCs w:val="24"/>
        </w:rPr>
        <w:t xml:space="preserve"> </w:t>
      </w:r>
      <w:r w:rsidRPr="00A46264">
        <w:rPr>
          <w:rFonts w:asciiTheme="minorHAnsi" w:hAnsiTheme="minorHAnsi" w:cstheme="minorHAnsi"/>
          <w:sz w:val="24"/>
          <w:szCs w:val="24"/>
        </w:rPr>
        <w:t xml:space="preserve">Doświadczenia </w:t>
      </w:r>
      <w:r w:rsidR="00471510">
        <w:rPr>
          <w:rFonts w:asciiTheme="minorHAnsi" w:hAnsiTheme="minorHAnsi" w:cstheme="minorHAnsi"/>
          <w:sz w:val="24"/>
          <w:szCs w:val="24"/>
        </w:rPr>
        <w:t>Gminy</w:t>
      </w:r>
      <w:r w:rsidRPr="00A46264">
        <w:rPr>
          <w:rFonts w:asciiTheme="minorHAnsi" w:hAnsiTheme="minorHAnsi" w:cstheme="minorHAnsi"/>
          <w:sz w:val="24"/>
          <w:szCs w:val="24"/>
        </w:rPr>
        <w:t xml:space="preserve"> potwierdzają, że rewitalizacja prowadzona w oparciu o szerokie partnerstwa i dopasowana do lokalnej diagnozy stymuluje rozwój społeczny, podnosi jakość życia mieszkańców i kształtuje </w:t>
      </w:r>
      <w:r w:rsidRPr="00471510">
        <w:rPr>
          <w:rFonts w:asciiTheme="minorHAnsi" w:hAnsiTheme="minorHAnsi" w:cstheme="minorHAnsi"/>
          <w:b/>
          <w:bCs/>
          <w:sz w:val="24"/>
          <w:szCs w:val="24"/>
        </w:rPr>
        <w:t>wizerunek Gminny, jako atrakcyjnego miejsca do pracy i wypoczynku</w:t>
      </w:r>
      <w:r w:rsidR="00471510">
        <w:rPr>
          <w:rFonts w:asciiTheme="minorHAnsi" w:hAnsiTheme="minorHAnsi" w:cstheme="minorHAnsi"/>
          <w:b/>
          <w:bCs/>
          <w:sz w:val="24"/>
          <w:szCs w:val="24"/>
        </w:rPr>
        <w:t xml:space="preserve">; </w:t>
      </w:r>
      <w:r w:rsidRPr="00A46264">
        <w:rPr>
          <w:rFonts w:asciiTheme="minorHAnsi" w:hAnsiTheme="minorHAnsi" w:cstheme="minorHAnsi"/>
          <w:sz w:val="24"/>
          <w:szCs w:val="24"/>
        </w:rPr>
        <w:t xml:space="preserve">skuteczna rewitalizacja wymaga systemowego podejścia, szerokich konsultacji społecznych, dobrej diagnozy lokalnych potrzeb oraz sprawnego pozyskiwania środków zewnętrznych, co przekłada się na realne korzyści dla mieszkańców i gości </w:t>
      </w:r>
      <w:r>
        <w:rPr>
          <w:rFonts w:asciiTheme="minorHAnsi" w:hAnsiTheme="minorHAnsi" w:cstheme="minorHAnsi"/>
          <w:sz w:val="24"/>
          <w:szCs w:val="24"/>
        </w:rPr>
        <w:t>Gminy.</w:t>
      </w:r>
    </w:p>
    <w:p w14:paraId="44513235" w14:textId="41F68CAF" w:rsidR="00800E6B" w:rsidRPr="00131763" w:rsidRDefault="00800E6B" w:rsidP="0005262A">
      <w:pPr>
        <w:spacing w:before="120" w:after="0" w:line="264" w:lineRule="auto"/>
        <w:rPr>
          <w:rFonts w:cs="Calibri"/>
          <w:bCs/>
          <w:sz w:val="24"/>
          <w:szCs w:val="24"/>
        </w:rPr>
      </w:pPr>
      <w:r>
        <w:rPr>
          <w:rFonts w:cs="Calibri"/>
          <w:bCs/>
          <w:sz w:val="24"/>
          <w:szCs w:val="24"/>
        </w:rPr>
        <w:t xml:space="preserve">Na podstawie przeprowadzonych </w:t>
      </w:r>
      <w:r w:rsidR="000D038F">
        <w:rPr>
          <w:rFonts w:cs="Calibri"/>
          <w:bCs/>
          <w:sz w:val="24"/>
          <w:szCs w:val="24"/>
        </w:rPr>
        <w:t xml:space="preserve">analiz obejmujących uwarunkowania przestrzenno-funkcjonalne Gminy </w:t>
      </w:r>
      <w:r>
        <w:rPr>
          <w:rFonts w:cs="Calibri"/>
          <w:bCs/>
          <w:sz w:val="24"/>
          <w:szCs w:val="24"/>
        </w:rPr>
        <w:t xml:space="preserve">zaproponowano </w:t>
      </w:r>
      <w:r w:rsidR="000D038F" w:rsidRPr="000D038F">
        <w:rPr>
          <w:rFonts w:cs="Calibri"/>
          <w:bCs/>
          <w:sz w:val="24"/>
          <w:szCs w:val="24"/>
        </w:rPr>
        <w:t>obiektywne i weryfikowalne mierniki i metody badawcze dostosowane do lokalnych uwarunkowań</w:t>
      </w:r>
      <w:r w:rsidR="000D038F">
        <w:rPr>
          <w:rStyle w:val="Odwoanieprzypisudolnego"/>
          <w:bCs/>
          <w:sz w:val="24"/>
          <w:szCs w:val="24"/>
        </w:rPr>
        <w:footnoteReference w:id="3"/>
      </w:r>
      <w:r>
        <w:rPr>
          <w:rFonts w:cs="Calibri"/>
          <w:bCs/>
          <w:sz w:val="24"/>
          <w:szCs w:val="24"/>
        </w:rPr>
        <w:t xml:space="preserve">, a także wskazano proponowany ich zasięg, zgodnie z wymogami </w:t>
      </w:r>
      <w:r w:rsidR="000B3B8D">
        <w:rPr>
          <w:rFonts w:cs="Calibri"/>
          <w:bCs/>
          <w:sz w:val="24"/>
          <w:szCs w:val="24"/>
        </w:rPr>
        <w:t xml:space="preserve">przepisów </w:t>
      </w:r>
      <w:r>
        <w:rPr>
          <w:rFonts w:cs="Calibri"/>
          <w:bCs/>
          <w:sz w:val="24"/>
          <w:szCs w:val="24"/>
        </w:rPr>
        <w:t xml:space="preserve">o rewitalizacji oraz metodyką opisaną w </w:t>
      </w:r>
      <w:r w:rsidR="000B3B8D">
        <w:rPr>
          <w:rFonts w:cs="Calibri"/>
          <w:bCs/>
          <w:sz w:val="24"/>
          <w:szCs w:val="24"/>
        </w:rPr>
        <w:t>dostępnych poradnikach dotyczących zasad opracowania gminnych programów rewitalizacji</w:t>
      </w:r>
      <w:r w:rsidR="000B3B8D">
        <w:rPr>
          <w:rStyle w:val="Odwoanieprzypisudolnego"/>
          <w:bCs/>
          <w:sz w:val="24"/>
          <w:szCs w:val="24"/>
        </w:rPr>
        <w:footnoteReference w:id="4"/>
      </w:r>
      <w:r w:rsidR="000B3B8D">
        <w:rPr>
          <w:rFonts w:cs="Calibri"/>
          <w:bCs/>
          <w:sz w:val="24"/>
          <w:szCs w:val="24"/>
        </w:rPr>
        <w:t xml:space="preserve"> przygotowanych na zlecenie Ministerstwa </w:t>
      </w:r>
      <w:r w:rsidR="000B3B8D" w:rsidRPr="000B3B8D">
        <w:rPr>
          <w:rFonts w:cs="Calibri"/>
          <w:bCs/>
          <w:sz w:val="24"/>
          <w:szCs w:val="24"/>
        </w:rPr>
        <w:t>Inwestycji i Rozwoju</w:t>
      </w:r>
      <w:r w:rsidR="000B3B8D">
        <w:rPr>
          <w:rStyle w:val="Odwoanieprzypisudolnego"/>
          <w:bCs/>
          <w:sz w:val="24"/>
          <w:szCs w:val="24"/>
        </w:rPr>
        <w:footnoteReference w:id="5"/>
      </w:r>
      <w:r w:rsidR="000B3B8D">
        <w:rPr>
          <w:rFonts w:cs="Calibri"/>
          <w:bCs/>
          <w:sz w:val="24"/>
          <w:szCs w:val="24"/>
        </w:rPr>
        <w:t xml:space="preserve"> oraz </w:t>
      </w:r>
      <w:r w:rsidR="000B3B8D" w:rsidRPr="000B3B8D">
        <w:rPr>
          <w:rFonts w:cs="Calibri"/>
          <w:bCs/>
          <w:sz w:val="24"/>
          <w:szCs w:val="24"/>
        </w:rPr>
        <w:t>Ministerstw</w:t>
      </w:r>
      <w:r w:rsidR="000B3B8D">
        <w:rPr>
          <w:rFonts w:cs="Calibri"/>
          <w:bCs/>
          <w:sz w:val="24"/>
          <w:szCs w:val="24"/>
        </w:rPr>
        <w:t>a</w:t>
      </w:r>
      <w:r w:rsidR="000B3B8D" w:rsidRPr="000B3B8D">
        <w:rPr>
          <w:rFonts w:cs="Calibri"/>
          <w:bCs/>
          <w:sz w:val="24"/>
          <w:szCs w:val="24"/>
        </w:rPr>
        <w:t xml:space="preserve"> Infrastruktur</w:t>
      </w:r>
      <w:r w:rsidR="000B3B8D">
        <w:rPr>
          <w:rFonts w:cs="Calibri"/>
          <w:bCs/>
          <w:sz w:val="24"/>
          <w:szCs w:val="24"/>
        </w:rPr>
        <w:t xml:space="preserve">y </w:t>
      </w:r>
      <w:r w:rsidR="000B3B8D" w:rsidRPr="000B3B8D">
        <w:rPr>
          <w:rFonts w:cs="Calibri"/>
          <w:bCs/>
          <w:sz w:val="24"/>
          <w:szCs w:val="24"/>
        </w:rPr>
        <w:t>i Budownictwa</w:t>
      </w:r>
      <w:r w:rsidR="000B3B8D">
        <w:rPr>
          <w:rFonts w:cs="Calibri"/>
          <w:bCs/>
          <w:sz w:val="24"/>
          <w:szCs w:val="24"/>
        </w:rPr>
        <w:t xml:space="preserve">. </w:t>
      </w:r>
      <w:r>
        <w:rPr>
          <w:rFonts w:cs="Calibri"/>
          <w:bCs/>
          <w:sz w:val="24"/>
          <w:szCs w:val="24"/>
        </w:rPr>
        <w:t xml:space="preserve">Finalnym efektem prac diagnostycznych było opracowanie projektu uchwały </w:t>
      </w:r>
      <w:r w:rsidR="007A030F">
        <w:rPr>
          <w:rFonts w:cs="Calibri"/>
          <w:bCs/>
          <w:sz w:val="24"/>
          <w:szCs w:val="24"/>
        </w:rPr>
        <w:t xml:space="preserve">Rady Miejskiej w Krośniewicach </w:t>
      </w:r>
      <w:r>
        <w:rPr>
          <w:rFonts w:cs="Calibri"/>
          <w:bCs/>
          <w:sz w:val="24"/>
          <w:szCs w:val="24"/>
        </w:rPr>
        <w:t>w sprawie wyznaczenia obszaru zdegradowanego i obszaru rewitalizacji wraz z załącznikami mapowymi w skali 1:5000 z wykorzystaniem treści mapy ewidencyjnej z zaznaczeniem granic obszar</w:t>
      </w:r>
      <w:r w:rsidR="00131763">
        <w:rPr>
          <w:rFonts w:cs="Calibri"/>
          <w:bCs/>
          <w:sz w:val="24"/>
          <w:szCs w:val="24"/>
        </w:rPr>
        <w:t>ów</w:t>
      </w:r>
      <w:r>
        <w:rPr>
          <w:rFonts w:cs="Calibri"/>
          <w:bCs/>
          <w:sz w:val="24"/>
          <w:szCs w:val="24"/>
        </w:rPr>
        <w:t>.</w:t>
      </w:r>
    </w:p>
    <w:p w14:paraId="6D4F24F6" w14:textId="2631FF30" w:rsidR="009445EB" w:rsidRDefault="008E31FB" w:rsidP="009445EB">
      <w:pPr>
        <w:spacing w:before="120" w:after="0" w:line="264" w:lineRule="auto"/>
        <w:rPr>
          <w:sz w:val="24"/>
          <w:szCs w:val="24"/>
        </w:rPr>
      </w:pPr>
      <w:r>
        <w:rPr>
          <w:rFonts w:cs="Calibri"/>
          <w:bCs/>
          <w:sz w:val="24"/>
          <w:szCs w:val="24"/>
        </w:rPr>
        <w:t xml:space="preserve">Na potrzeby wyznaczenia obszaru zdegradowanego i obszaru rewitalizacji Gmina podzielona została na jednostki urbanistyczne, jakimi są </w:t>
      </w:r>
      <w:r w:rsidR="00EB61AE">
        <w:rPr>
          <w:rFonts w:cs="Calibri"/>
          <w:bCs/>
          <w:sz w:val="24"/>
          <w:szCs w:val="24"/>
        </w:rPr>
        <w:t xml:space="preserve">jednostki pomocnicze Gminy </w:t>
      </w:r>
      <w:r w:rsidR="000D038F">
        <w:rPr>
          <w:rFonts w:cs="Calibri"/>
          <w:bCs/>
          <w:sz w:val="24"/>
          <w:szCs w:val="24"/>
        </w:rPr>
        <w:t>(</w:t>
      </w:r>
      <w:r>
        <w:rPr>
          <w:rFonts w:cs="Calibri"/>
          <w:bCs/>
          <w:sz w:val="24"/>
          <w:szCs w:val="24"/>
        </w:rPr>
        <w:t>sołectwa</w:t>
      </w:r>
      <w:r w:rsidR="00131763">
        <w:rPr>
          <w:rFonts w:cs="Calibri"/>
          <w:bCs/>
          <w:sz w:val="24"/>
          <w:szCs w:val="24"/>
        </w:rPr>
        <w:t xml:space="preserve"> w terenie wiejskim i osiedla w terenie miejskim</w:t>
      </w:r>
      <w:r w:rsidR="000D038F">
        <w:rPr>
          <w:rFonts w:cs="Calibri"/>
          <w:bCs/>
          <w:sz w:val="24"/>
          <w:szCs w:val="24"/>
        </w:rPr>
        <w:t xml:space="preserve">) </w:t>
      </w:r>
      <w:r>
        <w:rPr>
          <w:rFonts w:cs="Calibri"/>
          <w:bCs/>
          <w:sz w:val="24"/>
          <w:szCs w:val="24"/>
        </w:rPr>
        <w:t>z</w:t>
      </w:r>
      <w:r w:rsidR="00915B49">
        <w:rPr>
          <w:rFonts w:cs="Calibri"/>
          <w:bCs/>
          <w:sz w:val="24"/>
          <w:szCs w:val="24"/>
        </w:rPr>
        <w:t>godnie ze</w:t>
      </w:r>
      <w:r w:rsidR="00EB61AE">
        <w:rPr>
          <w:rFonts w:cs="Calibri"/>
          <w:bCs/>
          <w:sz w:val="24"/>
          <w:szCs w:val="24"/>
        </w:rPr>
        <w:t xml:space="preserve"> Statutem </w:t>
      </w:r>
      <w:r w:rsidR="007A030F">
        <w:rPr>
          <w:rFonts w:cs="Calibri"/>
          <w:bCs/>
          <w:sz w:val="24"/>
          <w:szCs w:val="24"/>
        </w:rPr>
        <w:t>Gminy</w:t>
      </w:r>
      <w:r w:rsidRPr="00915B49">
        <w:rPr>
          <w:rStyle w:val="Odwoanieprzypisudolnego"/>
          <w:bCs/>
          <w:sz w:val="24"/>
          <w:szCs w:val="24"/>
        </w:rPr>
        <w:footnoteReference w:id="6"/>
      </w:r>
      <w:r w:rsidR="000B3B8D" w:rsidRPr="00915B49">
        <w:rPr>
          <w:rFonts w:cs="Calibri"/>
          <w:bCs/>
          <w:sz w:val="24"/>
          <w:szCs w:val="24"/>
        </w:rPr>
        <w:t>.</w:t>
      </w:r>
      <w:r w:rsidR="00915B49" w:rsidRPr="00915B49">
        <w:rPr>
          <w:sz w:val="24"/>
          <w:szCs w:val="24"/>
        </w:rPr>
        <w:t xml:space="preserve"> </w:t>
      </w:r>
      <w:r w:rsidR="009871AE">
        <w:rPr>
          <w:rFonts w:cs="Calibri"/>
          <w:bCs/>
          <w:sz w:val="24"/>
          <w:szCs w:val="24"/>
        </w:rPr>
        <w:t xml:space="preserve">W toku przeprowadzonych prac dokonano analizy w sposób jednoznacznie wskazujące obszary zdegradowane, czyli tereny o niskim poziomie rozwoju lub cechujące się silną dynamiką spadku </w:t>
      </w:r>
      <w:r w:rsidR="009871AE" w:rsidRPr="003154B0">
        <w:rPr>
          <w:rFonts w:cs="Calibri"/>
          <w:bCs/>
          <w:sz w:val="24"/>
          <w:szCs w:val="24"/>
        </w:rPr>
        <w:t xml:space="preserve">poziomu rozwoju prowadząc badania ilościowe i jakościowe wśród interesariuszy rewitalizacji. Niniejsza diagnoza (raport diagnostyczny) wskazuje czynniki i przyczyny degradacji obszaru. Diagnoza zawiera obok części opisowej zestawienia tabelaryczne oraz poglądowe m.in. mapki z zaznaczeniem intensywności występowania zdiagnozowanych negatywnych zjawisk społecznych, gospodarczych, środowiskowych, przestrzenno-funkcjonalno-technicznych. Diagnoza została opracowana w oparciu o szczegółowe dane pozyskane od podmiotów, o których mowa w art. 4 ustawy z dnia </w:t>
      </w:r>
      <w:r w:rsidR="00F9734F">
        <w:rPr>
          <w:rFonts w:cs="Calibri"/>
          <w:bCs/>
          <w:sz w:val="24"/>
          <w:szCs w:val="24"/>
        </w:rPr>
        <w:t xml:space="preserve">        </w:t>
      </w:r>
      <w:r w:rsidR="009871AE" w:rsidRPr="003154B0">
        <w:rPr>
          <w:rFonts w:cs="Calibri"/>
          <w:bCs/>
          <w:sz w:val="24"/>
          <w:szCs w:val="24"/>
        </w:rPr>
        <w:t>6 września 2001 r. o dostępie do informacji publicznej (</w:t>
      </w:r>
      <w:r w:rsidR="000D038F" w:rsidRPr="000D038F">
        <w:rPr>
          <w:rFonts w:cs="Calibri"/>
          <w:bCs/>
          <w:sz w:val="24"/>
          <w:szCs w:val="24"/>
        </w:rPr>
        <w:t>tj. Dz.U. z 2022 r. poz. 902</w:t>
      </w:r>
      <w:r w:rsidR="000D038F">
        <w:rPr>
          <w:rFonts w:cs="Calibri"/>
          <w:bCs/>
          <w:sz w:val="24"/>
          <w:szCs w:val="24"/>
        </w:rPr>
        <w:t>).</w:t>
      </w:r>
      <w:bookmarkStart w:id="21" w:name="_Hlk208741588"/>
    </w:p>
    <w:p w14:paraId="7D04D3E7" w14:textId="0D0C3C72" w:rsidR="00131763" w:rsidRPr="00131763" w:rsidRDefault="00131763" w:rsidP="0005262A">
      <w:pPr>
        <w:spacing w:before="120" w:after="0" w:line="264" w:lineRule="auto"/>
        <w:rPr>
          <w:rFonts w:cs="Calibri"/>
          <w:bCs/>
          <w:sz w:val="24"/>
          <w:szCs w:val="24"/>
        </w:rPr>
      </w:pPr>
      <w:bookmarkStart w:id="22" w:name="_Hlk219272034"/>
      <w:bookmarkStart w:id="23" w:name="_Toc504643777"/>
      <w:bookmarkStart w:id="24" w:name="_Toc59918606"/>
      <w:bookmarkStart w:id="25" w:name="_Toc64132845"/>
      <w:bookmarkStart w:id="26" w:name="_Toc67141070"/>
      <w:bookmarkStart w:id="27" w:name="_Toc67307372"/>
      <w:bookmarkStart w:id="28" w:name="_Toc67310275"/>
      <w:bookmarkStart w:id="29" w:name="_Toc97015003"/>
      <w:bookmarkStart w:id="30" w:name="_Toc97100736"/>
      <w:bookmarkStart w:id="31" w:name="_Toc97364977"/>
      <w:bookmarkStart w:id="32" w:name="_Toc97365023"/>
      <w:bookmarkStart w:id="33" w:name="_Toc108591668"/>
      <w:bookmarkStart w:id="34" w:name="_Toc108592680"/>
      <w:bookmarkStart w:id="35" w:name="_Toc108592745"/>
      <w:bookmarkStart w:id="36" w:name="_Toc133584131"/>
      <w:bookmarkStart w:id="37" w:name="_Toc138666205"/>
      <w:bookmarkStart w:id="38" w:name="_Toc488271627"/>
      <w:bookmarkStart w:id="39" w:name="_Toc423884522"/>
      <w:bookmarkEnd w:id="21"/>
      <w:r w:rsidRPr="00A51C2F">
        <w:rPr>
          <w:rFonts w:cs="Calibri"/>
          <w:bCs/>
          <w:sz w:val="24"/>
          <w:szCs w:val="24"/>
        </w:rPr>
        <w:t xml:space="preserve">Powierzchnia obszaru zdegradowanego wynosi 417,5 ha i zamieszkiwana jest przez 3807 osób, co stanowi odpowiednio 4,4% ogólnej powierzchni gminy i </w:t>
      </w:r>
      <w:r>
        <w:rPr>
          <w:rFonts w:cs="Calibri"/>
          <w:bCs/>
          <w:sz w:val="24"/>
          <w:szCs w:val="24"/>
        </w:rPr>
        <w:t>49,9</w:t>
      </w:r>
      <w:r w:rsidRPr="00A51C2F">
        <w:rPr>
          <w:rFonts w:cs="Calibri"/>
          <w:bCs/>
          <w:sz w:val="24"/>
          <w:szCs w:val="24"/>
        </w:rPr>
        <w:t>% ogólnej liczby mieszkańców gminy. Z kolei – obszar rewitalizacji wynosi 310,88 ha, co stanowi 3,28% ogólnej powierzchni gminy, natomiast liczba mieszkańców zamieszkujących obszar rewitalizacji wynosi 2242 osób, co stanowi</w:t>
      </w:r>
      <w:r w:rsidRPr="00A51C2F">
        <w:rPr>
          <w:bCs/>
        </w:rPr>
        <w:t xml:space="preserve"> </w:t>
      </w:r>
      <w:r w:rsidRPr="00A51C2F">
        <w:rPr>
          <w:rFonts w:cs="Calibri"/>
          <w:bCs/>
          <w:sz w:val="24"/>
          <w:szCs w:val="24"/>
        </w:rPr>
        <w:t>28,7% ogólnej liczby mieszkańców gminy.</w:t>
      </w:r>
      <w:r w:rsidRPr="00A51C2F">
        <w:rPr>
          <w:bCs/>
          <w:sz w:val="24"/>
          <w:szCs w:val="24"/>
        </w:rPr>
        <w:t xml:space="preserve"> Na tak wyznaczonym obszarze Gminy będą prowadzone działania rewitalizacyjne, które zostaną wskazane w gminnym programie rewitalizacji opracowanym zgodnie z przepisami o rewitalizacji. </w:t>
      </w:r>
    </w:p>
    <w:bookmarkEnd w:id="22"/>
    <w:p w14:paraId="4BCD5FAB" w14:textId="20DBFB17" w:rsidR="00A85923" w:rsidRPr="00A85923" w:rsidRDefault="0097665C" w:rsidP="00A85923">
      <w:pPr>
        <w:shd w:val="clear" w:color="auto" w:fill="F2F2F2" w:themeFill="background1" w:themeFillShade="F2"/>
        <w:spacing w:before="120" w:after="0" w:line="264" w:lineRule="auto"/>
        <w:rPr>
          <w:sz w:val="24"/>
          <w:szCs w:val="24"/>
        </w:rPr>
      </w:pPr>
      <w:r w:rsidRPr="00673E76">
        <w:rPr>
          <w:sz w:val="24"/>
          <w:szCs w:val="24"/>
        </w:rPr>
        <w:t>Uwaga: Niniejszy dokument nie został wyjustowany</w:t>
      </w:r>
      <w:r w:rsidRPr="0097665C">
        <w:rPr>
          <w:sz w:val="24"/>
          <w:szCs w:val="24"/>
        </w:rPr>
        <w:t xml:space="preserve"> celem zapewnienia większej dostępności dla osób z niepełnosprawnością wzrokową. </w:t>
      </w:r>
      <w:r w:rsidR="00E51965">
        <w:rPr>
          <w:sz w:val="24"/>
          <w:szCs w:val="24"/>
        </w:rPr>
        <w:t>D</w:t>
      </w:r>
      <w:r w:rsidR="00E51965" w:rsidRPr="00E51965">
        <w:rPr>
          <w:sz w:val="24"/>
          <w:szCs w:val="24"/>
        </w:rPr>
        <w:t xml:space="preserve">okument został opracowany zgodnie ze Standardami </w:t>
      </w:r>
      <w:r w:rsidR="00E51965" w:rsidRPr="00E51965">
        <w:rPr>
          <w:sz w:val="24"/>
          <w:szCs w:val="24"/>
        </w:rPr>
        <w:lastRenderedPageBreak/>
        <w:t>dostępności dla polityki spójności 2021-2027, stanowiącymi załącznik nr 2 do Wytycznych dotyczących realizacji zasad równościowych w ramach funduszy unijnych na lata 2021-2027.</w:t>
      </w:r>
    </w:p>
    <w:p w14:paraId="5A8CA8B4" w14:textId="0B21D88A" w:rsidR="00BF4FFC" w:rsidRDefault="009871AE">
      <w:pPr>
        <w:pStyle w:val="Nagwek1"/>
        <w:rPr>
          <w:rFonts w:ascii="Calibri" w:hAnsi="Calibri" w:cs="Calibri"/>
        </w:rPr>
      </w:pPr>
      <w:bookmarkStart w:id="40" w:name="_Toc219271383"/>
      <w:r>
        <w:rPr>
          <w:rFonts w:ascii="Calibri" w:hAnsi="Calibri" w:cs="Calibri"/>
        </w:rPr>
        <w:t xml:space="preserve">Rozdział II. Mechanizmy włączenia mieszkańców w proces </w:t>
      </w:r>
      <w:bookmarkEnd w:id="23"/>
      <w:r>
        <w:rPr>
          <w:rFonts w:ascii="Calibri" w:hAnsi="Calibri" w:cs="Calibri"/>
        </w:rPr>
        <w:t>diagnostyczny</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40"/>
      <w:r>
        <w:rPr>
          <w:rFonts w:ascii="Calibri" w:hAnsi="Calibri" w:cs="Calibri"/>
        </w:rPr>
        <w:t xml:space="preserve"> </w:t>
      </w:r>
    </w:p>
    <w:tbl>
      <w:tblPr>
        <w:tblW w:w="9781" w:type="dxa"/>
        <w:tblCellMar>
          <w:left w:w="10" w:type="dxa"/>
          <w:right w:w="10" w:type="dxa"/>
        </w:tblCellMar>
        <w:tblLook w:val="0000" w:firstRow="0" w:lastRow="0" w:firstColumn="0" w:lastColumn="0" w:noHBand="0" w:noVBand="0"/>
      </w:tblPr>
      <w:tblGrid>
        <w:gridCol w:w="9781"/>
      </w:tblGrid>
      <w:tr w:rsidR="00BF4FFC" w:rsidRPr="009B4269" w14:paraId="299F4062" w14:textId="77777777" w:rsidTr="003154B0">
        <w:tc>
          <w:tcPr>
            <w:tcW w:w="9781" w:type="dxa"/>
            <w:shd w:val="clear" w:color="auto" w:fill="F2F2F2" w:themeFill="background1" w:themeFillShade="F2"/>
            <w:tcMar>
              <w:top w:w="0" w:type="dxa"/>
              <w:left w:w="108" w:type="dxa"/>
              <w:bottom w:w="0" w:type="dxa"/>
              <w:right w:w="108" w:type="dxa"/>
            </w:tcMar>
          </w:tcPr>
          <w:p w14:paraId="6130D66F" w14:textId="77777777" w:rsidR="00BF4FFC" w:rsidRPr="009B4269" w:rsidRDefault="009871AE">
            <w:pPr>
              <w:spacing w:before="120" w:line="288" w:lineRule="auto"/>
              <w:rPr>
                <w:rFonts w:cs="Calibri"/>
                <w:iCs/>
              </w:rPr>
            </w:pPr>
            <w:r w:rsidRPr="009B4269">
              <w:rPr>
                <w:rFonts w:cs="Calibri"/>
                <w:iCs/>
              </w:rPr>
              <w:t>Niniejszy rozdział opisuje mechanizmy włączenia mieszkańców, na terenie gminy w proces rewitalizacji i konsultacje społeczne.</w:t>
            </w:r>
          </w:p>
        </w:tc>
      </w:tr>
    </w:tbl>
    <w:p w14:paraId="5D75C432" w14:textId="77777777" w:rsidR="00BF4FFC" w:rsidRDefault="009871AE" w:rsidP="001B6F6D">
      <w:pPr>
        <w:spacing w:before="120" w:after="0" w:line="276" w:lineRule="auto"/>
        <w:rPr>
          <w:rFonts w:cs="Calibri"/>
          <w:sz w:val="24"/>
          <w:szCs w:val="24"/>
        </w:rPr>
      </w:pPr>
      <w:r>
        <w:rPr>
          <w:rFonts w:cs="Calibri"/>
          <w:sz w:val="24"/>
          <w:szCs w:val="24"/>
        </w:rPr>
        <w:t xml:space="preserve">W ramach pracy diagnostycznej wykorzystano wiele narzędzi partycypacyjnych oraz metod gromadzenia i analizy danych od mieszkańców i grup docelowych projektów rewitalizacyjnych. Partycypacja społeczna została wpisana w proces rewitalizacji gminy jako fundament działań na różnych jego etapach, tj. diagnozowanie, programowanie, wdrażanie (w tym finansowanie), monitorowanie i ewaluacja. Takie podejście ma na celu podniesienie skuteczności i trwałości projektów rewitalizacyjnych oraz gotowości i świadomości mieszkańców o partycypacyjnym współdecydowaniu o obszarze objętym Programem. </w:t>
      </w:r>
    </w:p>
    <w:p w14:paraId="09F48EC7" w14:textId="77777777" w:rsidR="00BF4FFC" w:rsidRDefault="009871AE" w:rsidP="001B6F6D">
      <w:pPr>
        <w:spacing w:before="120" w:after="0" w:line="276" w:lineRule="auto"/>
        <w:rPr>
          <w:rFonts w:cs="Calibri"/>
          <w:sz w:val="24"/>
          <w:szCs w:val="24"/>
        </w:rPr>
      </w:pPr>
      <w:r>
        <w:rPr>
          <w:rFonts w:cs="Calibri"/>
          <w:sz w:val="24"/>
          <w:szCs w:val="24"/>
        </w:rPr>
        <w:t xml:space="preserve">Ponadto realizuje zasadę partnerstwa wynikającą z art. 9 rozporządzenia ramowego (UE) nr  2021/1060 z dnia 24 czerwca 2021 r. (zasady horyzontalne) polegającą na łączeniu szerokiego grona partnerów (w szczególności lokalnych społeczności i przedsiębiorców, a także ekspertów) w procesy programowania i realizacji projektów rewitalizacyjnych w ramach programów operacyjnych oraz konsekwentnego, otwartego i trwałego dialogu, także z tymi podmiotami i grupami, których rezultaty rewitalizacji mają dotyczyć. Opiera się ona na założeniu, że opinia środowiska lokalnego jest </w:t>
      </w:r>
      <w:proofErr w:type="gramStart"/>
      <w:r>
        <w:rPr>
          <w:rFonts w:cs="Calibri"/>
          <w:sz w:val="24"/>
          <w:szCs w:val="24"/>
        </w:rPr>
        <w:t>istotnym  elementem</w:t>
      </w:r>
      <w:proofErr w:type="gramEnd"/>
      <w:r>
        <w:rPr>
          <w:rFonts w:cs="Calibri"/>
          <w:sz w:val="24"/>
          <w:szCs w:val="24"/>
        </w:rPr>
        <w:t xml:space="preserve"> tworzenia dokumentu, który ma stanowić narzędzie do projektowania konkretnych zadań, podejmowanych w celu rozwiązywania problemów i eliminacji niepożądanych zjawisk, a tym samym podnoszących jakość życia mieszkańców tych terenów.</w:t>
      </w:r>
    </w:p>
    <w:p w14:paraId="20D2B830" w14:textId="4609BCDB" w:rsidR="00000677" w:rsidRDefault="00000677" w:rsidP="00000677">
      <w:pPr>
        <w:shd w:val="clear" w:color="auto" w:fill="F2F2F2" w:themeFill="background1" w:themeFillShade="F2"/>
        <w:spacing w:before="120" w:after="0" w:line="276" w:lineRule="auto"/>
        <w:rPr>
          <w:rFonts w:cs="Calibri"/>
          <w:sz w:val="24"/>
          <w:szCs w:val="24"/>
        </w:rPr>
      </w:pPr>
      <w:bookmarkStart w:id="41" w:name="_Hlk206408742"/>
      <w:r>
        <w:rPr>
          <w:rFonts w:cs="Calibri"/>
          <w:sz w:val="24"/>
          <w:szCs w:val="24"/>
        </w:rPr>
        <w:t>Badania ankietowe</w:t>
      </w:r>
    </w:p>
    <w:p w14:paraId="593CC7C8" w14:textId="4523F05C" w:rsidR="005F643E" w:rsidRPr="00131763" w:rsidRDefault="00000677" w:rsidP="00131763">
      <w:pPr>
        <w:spacing w:before="120" w:after="0" w:line="276" w:lineRule="auto"/>
        <w:rPr>
          <w:rFonts w:cs="Calibri"/>
          <w:sz w:val="24"/>
          <w:szCs w:val="24"/>
        </w:rPr>
      </w:pPr>
      <w:r w:rsidRPr="00000677">
        <w:rPr>
          <w:rFonts w:cs="Calibri"/>
          <w:sz w:val="24"/>
          <w:szCs w:val="24"/>
        </w:rPr>
        <w:t xml:space="preserve">Na potrzeby diagnozy </w:t>
      </w:r>
      <w:r>
        <w:rPr>
          <w:rFonts w:cs="Calibri"/>
          <w:sz w:val="24"/>
          <w:szCs w:val="24"/>
        </w:rPr>
        <w:t xml:space="preserve">obszaru rewitalizacji i obszaru zdegradowanego wykorzystano </w:t>
      </w:r>
      <w:r w:rsidRPr="005F643E">
        <w:rPr>
          <w:rFonts w:cs="Calibri"/>
          <w:b/>
          <w:bCs/>
          <w:sz w:val="24"/>
          <w:szCs w:val="24"/>
        </w:rPr>
        <w:t>aktualne badania jakościowe stanu społeczno-gospodarczego Gminy</w:t>
      </w:r>
      <w:r w:rsidR="000D038F">
        <w:rPr>
          <w:rFonts w:cs="Calibri"/>
          <w:sz w:val="24"/>
          <w:szCs w:val="24"/>
        </w:rPr>
        <w:t xml:space="preserve">, które zostały wykonane </w:t>
      </w:r>
      <w:r w:rsidR="00F76220">
        <w:rPr>
          <w:rFonts w:cs="Calibri"/>
          <w:sz w:val="24"/>
          <w:szCs w:val="24"/>
        </w:rPr>
        <w:t xml:space="preserve">na potrzeby opracowania </w:t>
      </w:r>
      <w:r w:rsidR="00A46264">
        <w:rPr>
          <w:rFonts w:cs="Calibri"/>
          <w:sz w:val="24"/>
          <w:szCs w:val="24"/>
        </w:rPr>
        <w:t>S</w:t>
      </w:r>
      <w:r w:rsidR="00F76220">
        <w:rPr>
          <w:rFonts w:cs="Calibri"/>
          <w:sz w:val="24"/>
          <w:szCs w:val="24"/>
        </w:rPr>
        <w:t xml:space="preserve">trategii </w:t>
      </w:r>
      <w:r w:rsidR="00A46264">
        <w:rPr>
          <w:rFonts w:cs="Calibri"/>
          <w:sz w:val="24"/>
          <w:szCs w:val="24"/>
        </w:rPr>
        <w:t xml:space="preserve">Rozwoju </w:t>
      </w:r>
      <w:r w:rsidR="00A46264" w:rsidRPr="00A46264">
        <w:rPr>
          <w:rFonts w:cs="Calibri"/>
          <w:sz w:val="24"/>
          <w:szCs w:val="24"/>
        </w:rPr>
        <w:t>Gminy</w:t>
      </w:r>
      <w:r w:rsidR="001D4AEC">
        <w:rPr>
          <w:rFonts w:cs="Calibri"/>
          <w:sz w:val="24"/>
          <w:szCs w:val="24"/>
        </w:rPr>
        <w:t xml:space="preserve"> Krośniewice </w:t>
      </w:r>
      <w:r w:rsidR="001D4AEC" w:rsidRPr="001D4AEC">
        <w:rPr>
          <w:rFonts w:cs="Calibri"/>
          <w:sz w:val="24"/>
          <w:szCs w:val="24"/>
        </w:rPr>
        <w:t>na lata 2023-2030</w:t>
      </w:r>
      <w:r w:rsidR="001D4AEC">
        <w:rPr>
          <w:rFonts w:cs="Calibri"/>
          <w:sz w:val="24"/>
          <w:szCs w:val="24"/>
        </w:rPr>
        <w:t xml:space="preserve"> </w:t>
      </w:r>
      <w:r w:rsidR="001D4AEC" w:rsidRPr="001D4AEC">
        <w:rPr>
          <w:rFonts w:cs="Calibri"/>
          <w:sz w:val="24"/>
          <w:szCs w:val="24"/>
        </w:rPr>
        <w:t>mające na celu rozpoznanie rzeczywistych potrzeb społeczno-gospodarczych oraz wizji rozwoju na najbliższe lata</w:t>
      </w:r>
      <w:r w:rsidR="001D4AEC">
        <w:rPr>
          <w:rStyle w:val="Odwoanieprzypisudolnego"/>
          <w:sz w:val="24"/>
          <w:szCs w:val="24"/>
        </w:rPr>
        <w:footnoteReference w:id="7"/>
      </w:r>
      <w:r w:rsidR="001D4AEC" w:rsidRPr="001D4AEC">
        <w:rPr>
          <w:rFonts w:cs="Calibri"/>
          <w:sz w:val="24"/>
          <w:szCs w:val="24"/>
        </w:rPr>
        <w:t>.</w:t>
      </w:r>
      <w:bookmarkEnd w:id="41"/>
      <w:r w:rsidR="00131763">
        <w:rPr>
          <w:rFonts w:cs="Calibri"/>
          <w:sz w:val="24"/>
          <w:szCs w:val="24"/>
        </w:rPr>
        <w:t xml:space="preserve"> </w:t>
      </w:r>
      <w:r w:rsidR="005F643E" w:rsidRPr="005F643E">
        <w:rPr>
          <w:sz w:val="24"/>
          <w:szCs w:val="24"/>
        </w:rPr>
        <w:t xml:space="preserve">Badanie ankietowe (n=89; dominują osoby w wieku 36–60 lat, 65% kobiet, 85% mieszkańców gminy) wskazuje jednoznaczne preferencje mieszkańców co do priorytetów rozwojowych: jako najpilniejsze zadania wymieniono </w:t>
      </w:r>
      <w:r w:rsidR="005F643E" w:rsidRPr="005F643E">
        <w:rPr>
          <w:b/>
          <w:bCs/>
          <w:sz w:val="24"/>
          <w:szCs w:val="24"/>
        </w:rPr>
        <w:t>remont istniejących dróg</w:t>
      </w:r>
      <w:r w:rsidR="005F643E" w:rsidRPr="005F643E">
        <w:rPr>
          <w:sz w:val="24"/>
          <w:szCs w:val="24"/>
        </w:rPr>
        <w:t xml:space="preserve">, </w:t>
      </w:r>
      <w:r w:rsidR="005F643E" w:rsidRPr="005F643E">
        <w:rPr>
          <w:b/>
          <w:bCs/>
          <w:sz w:val="24"/>
          <w:szCs w:val="24"/>
        </w:rPr>
        <w:t>wydzielenie i uzbrojenie terenów inwestycyjnych</w:t>
      </w:r>
      <w:r w:rsidR="005F643E" w:rsidRPr="005F643E">
        <w:rPr>
          <w:sz w:val="24"/>
          <w:szCs w:val="24"/>
        </w:rPr>
        <w:t xml:space="preserve"> oraz </w:t>
      </w:r>
      <w:r w:rsidR="005F643E" w:rsidRPr="005F643E">
        <w:rPr>
          <w:b/>
          <w:bCs/>
          <w:sz w:val="24"/>
          <w:szCs w:val="24"/>
        </w:rPr>
        <w:t>rozwój sieci rowerowej</w:t>
      </w:r>
      <w:r w:rsidR="005F643E" w:rsidRPr="005F643E">
        <w:rPr>
          <w:sz w:val="24"/>
          <w:szCs w:val="24"/>
        </w:rPr>
        <w:t>, podczas gdy budowa sygnalizacji świetlnej i niektóre obiekty sportowe zostały ocenione jako mniej istotne. Respondenci podkreślali także brak miejsc pracy, niedostateczne wyposażenie techniczne i rekreacyjne na terenach wiejskich oraz brak oferty mieszkaniowej i uzbrojonych terenów pod zabudowę jako kluczowe bariery rozwoju lokalnego.</w:t>
      </w:r>
    </w:p>
    <w:p w14:paraId="45451C97" w14:textId="090FE117" w:rsidR="003D118C" w:rsidRDefault="005F643E" w:rsidP="005F643E">
      <w:pPr>
        <w:spacing w:before="120" w:after="0" w:line="264" w:lineRule="auto"/>
        <w:rPr>
          <w:sz w:val="24"/>
          <w:szCs w:val="24"/>
        </w:rPr>
      </w:pPr>
      <w:r w:rsidRPr="005F643E">
        <w:rPr>
          <w:sz w:val="24"/>
          <w:szCs w:val="24"/>
        </w:rPr>
        <w:lastRenderedPageBreak/>
        <w:t>Równocześnie mieszkańcy doceniają duże atuty gminy — rozległą zieleń, korzystne położenie i dobrą dostępność komunikacyjną oraz funkcjonującą ofertę kulturalno-sportową w mieście — co oznacza, że rewitalizacja winna wzmacniać te przewagi (rozwój terenów zielonych, łączenie funkcji rekreacyjnych z usługami). Ankieta wyraźnie sygnalizuje też deficyty skierowane do młodych (niewystarczająca oferta rekreacyjna dla młodzieży) i potrzebę programów aktywizacyjnych, które powiążą poprawę infrastruktury z tworzeniem miejsc pracy.</w:t>
      </w:r>
      <w:r w:rsidR="003D118C">
        <w:rPr>
          <w:sz w:val="24"/>
          <w:szCs w:val="24"/>
        </w:rPr>
        <w:t xml:space="preserve"> </w:t>
      </w:r>
      <w:r w:rsidRPr="005F643E">
        <w:rPr>
          <w:sz w:val="24"/>
          <w:szCs w:val="24"/>
        </w:rPr>
        <w:t xml:space="preserve">Z punktu widzenia wyznaczenia obszaru rewitalizacji najważniejsze jest, że </w:t>
      </w:r>
      <w:r w:rsidRPr="005F643E">
        <w:rPr>
          <w:b/>
          <w:bCs/>
          <w:sz w:val="24"/>
          <w:szCs w:val="24"/>
        </w:rPr>
        <w:t>mieszkańcy oczekują przede wszystkim działań o charakterze infrastrukturalno-funkcjonalnym i gospodarczym</w:t>
      </w:r>
      <w:r w:rsidRPr="005F643E">
        <w:rPr>
          <w:sz w:val="24"/>
          <w:szCs w:val="24"/>
        </w:rPr>
        <w:t xml:space="preserve"> — a więc interwencji adresujących doraźne braki techniczne (drogi, sieci, oświetlenie, kanalizacja), uzupełnienie oferty mieszkaniowej i przygotowanie terenów inwestycyjnych, a równocześnie działania społeczne i rekreacyjne dla młodzieży. </w:t>
      </w:r>
    </w:p>
    <w:p w14:paraId="3CCB2AD4" w14:textId="505418B8" w:rsidR="005F643E" w:rsidRPr="005F643E" w:rsidRDefault="005F643E" w:rsidP="005F643E">
      <w:pPr>
        <w:spacing w:before="120" w:after="0" w:line="264" w:lineRule="auto"/>
        <w:rPr>
          <w:sz w:val="24"/>
          <w:szCs w:val="24"/>
        </w:rPr>
      </w:pPr>
      <w:r w:rsidRPr="005F643E">
        <w:rPr>
          <w:sz w:val="24"/>
          <w:szCs w:val="24"/>
        </w:rPr>
        <w:t xml:space="preserve">W połączeniu z wynikami IMD, opinie mieszkańców uzasadniają wyznaczenie obszaru rewitalizacji w </w:t>
      </w:r>
      <w:r w:rsidRPr="005F643E">
        <w:rPr>
          <w:b/>
          <w:bCs/>
          <w:sz w:val="24"/>
          <w:szCs w:val="24"/>
        </w:rPr>
        <w:t>centrum miejskim Krośniewic (osiedla)</w:t>
      </w:r>
      <w:r w:rsidRPr="005F643E">
        <w:rPr>
          <w:sz w:val="24"/>
          <w:szCs w:val="24"/>
        </w:rPr>
        <w:t xml:space="preserve"> jako priorytetowego pola interwencji — to tam kumulują się potrzeby infrastrukturalne, deficyty usług i oczekiwanie na rozwój lokalnego rynku pracy, a rewitalizacja może przynieść najszybsze i najbardziej widoczne efekty społeczno-gospodarcze.</w:t>
      </w:r>
    </w:p>
    <w:p w14:paraId="6C33EF5B" w14:textId="140297EE" w:rsidR="00DE134A" w:rsidRPr="003E5037" w:rsidRDefault="005F643E" w:rsidP="003E5037">
      <w:pPr>
        <w:spacing w:before="120" w:after="0" w:line="264" w:lineRule="auto"/>
        <w:rPr>
          <w:sz w:val="24"/>
          <w:szCs w:val="24"/>
        </w:rPr>
      </w:pPr>
      <w:r w:rsidRPr="005F643E">
        <w:rPr>
          <w:sz w:val="24"/>
          <w:szCs w:val="24"/>
        </w:rPr>
        <w:t xml:space="preserve">Na koniec warto dodać uwagę metodologiczną: chociaż próba jest relatywnie niewielka, jej struktura wiekowa i przestrzenna (przewaga mieszkańców gminy) czyni wnioski użytecznymi w kształtowaniu priorytetów rewitalizacyjnych; rekomendowane jest jednak pogłębienie konsultacji </w:t>
      </w:r>
      <w:r w:rsidRPr="003D118C">
        <w:rPr>
          <w:b/>
          <w:bCs/>
          <w:sz w:val="24"/>
          <w:szCs w:val="24"/>
        </w:rPr>
        <w:t xml:space="preserve">w wybranych jednostkach </w:t>
      </w:r>
      <w:r w:rsidR="003D118C" w:rsidRPr="003D118C">
        <w:rPr>
          <w:b/>
          <w:bCs/>
          <w:sz w:val="24"/>
          <w:szCs w:val="24"/>
        </w:rPr>
        <w:t>urbanistycznych na terenie miejskim Krośniewic</w:t>
      </w:r>
      <w:r w:rsidRPr="005F643E">
        <w:rPr>
          <w:sz w:val="24"/>
          <w:szCs w:val="24"/>
        </w:rPr>
        <w:t>, aby szczegółowo zaprojektować pakiety inwestycyjne zgodnie z lokalnymi oczekiwaniami i potrzebami</w:t>
      </w:r>
      <w:r w:rsidR="003D118C">
        <w:rPr>
          <w:sz w:val="24"/>
          <w:szCs w:val="24"/>
        </w:rPr>
        <w:t xml:space="preserve">. </w:t>
      </w:r>
      <w:r w:rsidR="00CD7391" w:rsidRPr="00CD7391">
        <w:rPr>
          <w:sz w:val="24"/>
          <w:szCs w:val="24"/>
        </w:rPr>
        <w:t>Uwzględnienie ocen i oczekiwań społeczności lokalnej stanowi istotne uzupełnienie analizy wskaźnikowej i jest zgodne z podejściem partycypacyjnym wpisanym zarówno w ustawę o rewitalizacji, jak i strategię rozwoju gminy. Wyniki badań ankietowych jednoznacznie wskazują, że kluczowe dla powodzenia procesu będą inwestycje poprawiające dostępność i jakość infrastruktury technicznej oraz rozwój oferty turystyczno-rekreacyjnej w najbardziej problematycznych obszarach gminy, wyznaczonych w toku pogłębionych analiz liczbowych i przestrzennych</w:t>
      </w:r>
      <w:r w:rsidR="00CD7391">
        <w:rPr>
          <w:sz w:val="24"/>
          <w:szCs w:val="24"/>
        </w:rPr>
        <w:t xml:space="preserve">. </w:t>
      </w:r>
    </w:p>
    <w:p w14:paraId="06162F41" w14:textId="77777777" w:rsidR="00BF4FFC" w:rsidRPr="003154B0" w:rsidRDefault="009871AE" w:rsidP="002C517D">
      <w:pPr>
        <w:shd w:val="clear" w:color="auto" w:fill="F2F2F2" w:themeFill="background1" w:themeFillShade="F2"/>
        <w:spacing w:before="120" w:after="0" w:line="264" w:lineRule="auto"/>
        <w:jc w:val="both"/>
        <w:rPr>
          <w:rFonts w:cs="Arial"/>
          <w:bCs/>
          <w:color w:val="262626" w:themeColor="text1" w:themeTint="D9"/>
          <w:sz w:val="24"/>
          <w:szCs w:val="24"/>
        </w:rPr>
      </w:pPr>
      <w:r w:rsidRPr="003154B0">
        <w:rPr>
          <w:rFonts w:cs="Arial"/>
          <w:bCs/>
          <w:color w:val="262626" w:themeColor="text1" w:themeTint="D9"/>
          <w:sz w:val="24"/>
          <w:szCs w:val="24"/>
        </w:rPr>
        <w:t xml:space="preserve">Konsultacje społeczne </w:t>
      </w:r>
    </w:p>
    <w:p w14:paraId="75BCA67C" w14:textId="56696224" w:rsidR="000D038F" w:rsidRDefault="009871AE">
      <w:pPr>
        <w:spacing w:before="120" w:after="0" w:line="264" w:lineRule="auto"/>
        <w:rPr>
          <w:sz w:val="24"/>
          <w:szCs w:val="24"/>
        </w:rPr>
      </w:pPr>
      <w:r>
        <w:rPr>
          <w:sz w:val="24"/>
          <w:szCs w:val="24"/>
        </w:rPr>
        <w:t xml:space="preserve">Zgodnie z art. 5 ustawy o rewitalizacji </w:t>
      </w:r>
      <w:r w:rsidR="000D038F">
        <w:rPr>
          <w:sz w:val="24"/>
          <w:szCs w:val="24"/>
        </w:rPr>
        <w:t xml:space="preserve">zaplanowano przeprowadzenie </w:t>
      </w:r>
      <w:r>
        <w:rPr>
          <w:sz w:val="24"/>
          <w:szCs w:val="24"/>
        </w:rPr>
        <w:t>konsult</w:t>
      </w:r>
      <w:r w:rsidR="000D038F">
        <w:rPr>
          <w:sz w:val="24"/>
          <w:szCs w:val="24"/>
        </w:rPr>
        <w:t>acji</w:t>
      </w:r>
      <w:r>
        <w:rPr>
          <w:sz w:val="24"/>
          <w:szCs w:val="24"/>
        </w:rPr>
        <w:t xml:space="preserve"> społeczn</w:t>
      </w:r>
      <w:r w:rsidR="000D038F">
        <w:rPr>
          <w:sz w:val="24"/>
          <w:szCs w:val="24"/>
        </w:rPr>
        <w:t xml:space="preserve">ych projektu uchwały demitacyjnej. Konsultacje zostaną zarządzone </w:t>
      </w:r>
      <w:r>
        <w:rPr>
          <w:sz w:val="24"/>
          <w:szCs w:val="24"/>
        </w:rPr>
        <w:t>w sposób zapewniający aktywny udział interesariuszy, w tym poprzez uczestnictwo w konsultacjach</w:t>
      </w:r>
      <w:r w:rsidR="000D038F">
        <w:rPr>
          <w:sz w:val="24"/>
          <w:szCs w:val="24"/>
        </w:rPr>
        <w:t xml:space="preserve">. </w:t>
      </w:r>
      <w:r>
        <w:rPr>
          <w:sz w:val="24"/>
          <w:szCs w:val="24"/>
        </w:rPr>
        <w:t>Stosownie do przepisów art. 6 ust. 1 ustawy o rewitalizacji</w:t>
      </w:r>
      <w:r w:rsidR="000D038F">
        <w:rPr>
          <w:sz w:val="24"/>
          <w:szCs w:val="24"/>
        </w:rPr>
        <w:t>,</w:t>
      </w:r>
      <w:r>
        <w:rPr>
          <w:sz w:val="24"/>
          <w:szCs w:val="24"/>
        </w:rPr>
        <w:t xml:space="preserve"> </w:t>
      </w:r>
      <w:r w:rsidR="000D038F">
        <w:rPr>
          <w:sz w:val="24"/>
          <w:szCs w:val="24"/>
        </w:rPr>
        <w:t>o</w:t>
      </w:r>
      <w:r w:rsidR="000D038F" w:rsidRPr="000D038F">
        <w:rPr>
          <w:sz w:val="24"/>
          <w:szCs w:val="24"/>
        </w:rPr>
        <w:t xml:space="preserve"> sposobach, miejscach i terminach prowadzenia konsultacji społecznych </w:t>
      </w:r>
      <w:r w:rsidR="000D038F">
        <w:rPr>
          <w:sz w:val="24"/>
          <w:szCs w:val="24"/>
        </w:rPr>
        <w:t>mieszkańcy poinformowani zostaną</w:t>
      </w:r>
      <w:r w:rsidR="000D038F" w:rsidRPr="000D038F">
        <w:rPr>
          <w:sz w:val="24"/>
          <w:szCs w:val="24"/>
        </w:rPr>
        <w:t xml:space="preserve"> w drodze obwieszczenia</w:t>
      </w:r>
      <w:r w:rsidR="000D038F">
        <w:rPr>
          <w:sz w:val="24"/>
          <w:szCs w:val="24"/>
        </w:rPr>
        <w:t>:</w:t>
      </w:r>
    </w:p>
    <w:p w14:paraId="70DEF205" w14:textId="77777777" w:rsidR="003B5185" w:rsidRDefault="000D038F" w:rsidP="000D038F">
      <w:pPr>
        <w:pStyle w:val="Akapitzlist"/>
        <w:numPr>
          <w:ilvl w:val="0"/>
          <w:numId w:val="33"/>
        </w:numPr>
        <w:spacing w:before="120" w:after="0" w:line="264" w:lineRule="auto"/>
        <w:rPr>
          <w:sz w:val="24"/>
          <w:szCs w:val="24"/>
        </w:rPr>
      </w:pPr>
      <w:r w:rsidRPr="000D038F">
        <w:rPr>
          <w:sz w:val="24"/>
          <w:szCs w:val="24"/>
        </w:rPr>
        <w:t>przez publikację w prasie w rozumieniu </w:t>
      </w:r>
      <w:r>
        <w:rPr>
          <w:sz w:val="24"/>
          <w:szCs w:val="24"/>
        </w:rPr>
        <w:t>art. 7 ust. 2 pkt 1</w:t>
      </w:r>
      <w:r w:rsidRPr="000D038F">
        <w:rPr>
          <w:sz w:val="24"/>
          <w:szCs w:val="24"/>
        </w:rPr>
        <w:t xml:space="preserve"> ustawy z dnia 26 stycznia 1984 r. - Prawo prasowe</w:t>
      </w:r>
      <w:r>
        <w:rPr>
          <w:sz w:val="24"/>
          <w:szCs w:val="24"/>
        </w:rPr>
        <w:t xml:space="preserve"> </w:t>
      </w:r>
      <w:r w:rsidR="003B5185">
        <w:rPr>
          <w:sz w:val="24"/>
          <w:szCs w:val="24"/>
        </w:rPr>
        <w:t>(</w:t>
      </w:r>
      <w:r w:rsidR="003B5185" w:rsidRPr="003B5185">
        <w:rPr>
          <w:sz w:val="24"/>
          <w:szCs w:val="24"/>
        </w:rPr>
        <w:t>tj. Dz. U. z 2018 r. poz. 1914</w:t>
      </w:r>
      <w:r w:rsidR="003B5185">
        <w:rPr>
          <w:sz w:val="24"/>
          <w:szCs w:val="24"/>
        </w:rPr>
        <w:t>),</w:t>
      </w:r>
    </w:p>
    <w:p w14:paraId="6F2CEFD7" w14:textId="77777777" w:rsidR="003B5185" w:rsidRDefault="000D038F" w:rsidP="000D038F">
      <w:pPr>
        <w:pStyle w:val="Akapitzlist"/>
        <w:numPr>
          <w:ilvl w:val="0"/>
          <w:numId w:val="33"/>
        </w:numPr>
        <w:spacing w:before="120" w:after="0" w:line="264" w:lineRule="auto"/>
        <w:rPr>
          <w:sz w:val="24"/>
          <w:szCs w:val="24"/>
        </w:rPr>
      </w:pPr>
      <w:r w:rsidRPr="003B5185">
        <w:rPr>
          <w:sz w:val="24"/>
          <w:szCs w:val="24"/>
        </w:rPr>
        <w:t>przez wywieszenie w widocznym miejscu na terenie objętym dokumentem poddawanym konsultacjom oraz w siedzibie obsługującego go urzędu</w:t>
      </w:r>
      <w:r w:rsidR="003B5185">
        <w:rPr>
          <w:sz w:val="24"/>
          <w:szCs w:val="24"/>
        </w:rPr>
        <w:t>,</w:t>
      </w:r>
    </w:p>
    <w:p w14:paraId="73995989" w14:textId="7671435B" w:rsidR="003B5185" w:rsidRPr="003B5185" w:rsidRDefault="000D038F" w:rsidP="000D038F">
      <w:pPr>
        <w:pStyle w:val="Akapitzlist"/>
        <w:numPr>
          <w:ilvl w:val="0"/>
          <w:numId w:val="33"/>
        </w:numPr>
        <w:spacing w:before="120" w:after="0" w:line="264" w:lineRule="auto"/>
        <w:rPr>
          <w:sz w:val="24"/>
          <w:szCs w:val="24"/>
        </w:rPr>
      </w:pPr>
      <w:r w:rsidRPr="003B5185">
        <w:rPr>
          <w:sz w:val="24"/>
          <w:szCs w:val="24"/>
        </w:rPr>
        <w:t>przez udostępnienie informacji na stronie podmiotowej gminy w Biuletynie Informacji Publicznej oraz na stronie internetowej</w:t>
      </w:r>
      <w:r w:rsidR="003B5185" w:rsidRPr="003B5185">
        <w:rPr>
          <w:sz w:val="24"/>
          <w:szCs w:val="24"/>
        </w:rPr>
        <w:t xml:space="preserve"> Gminy,</w:t>
      </w:r>
    </w:p>
    <w:p w14:paraId="6DA1824C" w14:textId="4A180ECF" w:rsidR="000D038F" w:rsidRPr="009166AF" w:rsidRDefault="000D038F" w:rsidP="003B5185">
      <w:pPr>
        <w:pStyle w:val="Akapitzlist"/>
        <w:numPr>
          <w:ilvl w:val="0"/>
          <w:numId w:val="33"/>
        </w:numPr>
        <w:spacing w:before="120" w:after="0" w:line="264" w:lineRule="auto"/>
        <w:rPr>
          <w:sz w:val="24"/>
          <w:szCs w:val="24"/>
        </w:rPr>
      </w:pPr>
      <w:r w:rsidRPr="003B5185">
        <w:rPr>
          <w:sz w:val="24"/>
          <w:szCs w:val="24"/>
        </w:rPr>
        <w:t xml:space="preserve">w sposób zwyczajowo przyjęty </w:t>
      </w:r>
      <w:r w:rsidRPr="009166AF">
        <w:rPr>
          <w:sz w:val="24"/>
          <w:szCs w:val="24"/>
        </w:rPr>
        <w:t xml:space="preserve">w </w:t>
      </w:r>
      <w:r w:rsidR="009166AF">
        <w:rPr>
          <w:sz w:val="24"/>
          <w:szCs w:val="24"/>
        </w:rPr>
        <w:t>Gminie</w:t>
      </w:r>
      <w:r w:rsidR="003D118C">
        <w:rPr>
          <w:sz w:val="24"/>
          <w:szCs w:val="24"/>
        </w:rPr>
        <w:t>.</w:t>
      </w:r>
    </w:p>
    <w:p w14:paraId="55290580" w14:textId="0DF3F465" w:rsidR="003B5185" w:rsidRPr="003B5185" w:rsidRDefault="00A96AEF">
      <w:pPr>
        <w:spacing w:before="120" w:after="0" w:line="264" w:lineRule="auto"/>
        <w:rPr>
          <w:sz w:val="24"/>
          <w:szCs w:val="24"/>
        </w:rPr>
      </w:pPr>
      <w:bookmarkStart w:id="42" w:name="_Hlk74808485"/>
      <w:r w:rsidRPr="003B5185">
        <w:rPr>
          <w:sz w:val="24"/>
          <w:szCs w:val="24"/>
        </w:rPr>
        <w:lastRenderedPageBreak/>
        <w:t xml:space="preserve">Projekt uchwały Rady </w:t>
      </w:r>
      <w:r w:rsidR="003D118C">
        <w:rPr>
          <w:sz w:val="24"/>
          <w:szCs w:val="24"/>
        </w:rPr>
        <w:t xml:space="preserve">Miejskiej w Krośniewicach </w:t>
      </w:r>
      <w:r w:rsidRPr="003B5185">
        <w:rPr>
          <w:sz w:val="24"/>
          <w:szCs w:val="24"/>
        </w:rPr>
        <w:t xml:space="preserve">w sprawie wyznaczenia obszaru zdegradowanego i obszaru rewitalizacji wraz z mapami w skali 1:5000 wskazującymi granice obszaru rewitalizacji oraz „Diagnoza służącą wyznaczeniu obszaru zdegradowanego i obszaru rewitalizacji </w:t>
      </w:r>
      <w:r w:rsidR="003D118C">
        <w:rPr>
          <w:sz w:val="24"/>
          <w:szCs w:val="24"/>
        </w:rPr>
        <w:t>Krośniewic</w:t>
      </w:r>
      <w:r w:rsidRPr="003B5185">
        <w:rPr>
          <w:sz w:val="24"/>
          <w:szCs w:val="24"/>
        </w:rPr>
        <w:t>”</w:t>
      </w:r>
      <w:r w:rsidR="000D038F" w:rsidRPr="003B5185">
        <w:rPr>
          <w:sz w:val="24"/>
          <w:szCs w:val="24"/>
        </w:rPr>
        <w:t xml:space="preserve"> </w:t>
      </w:r>
      <w:r w:rsidRPr="003B5185">
        <w:rPr>
          <w:sz w:val="24"/>
          <w:szCs w:val="24"/>
        </w:rPr>
        <w:t>udostępnione zosta</w:t>
      </w:r>
      <w:r w:rsidR="003B5185" w:rsidRPr="003B5185">
        <w:rPr>
          <w:sz w:val="24"/>
          <w:szCs w:val="24"/>
        </w:rPr>
        <w:t>ną</w:t>
      </w:r>
      <w:r w:rsidRPr="003B5185">
        <w:rPr>
          <w:sz w:val="24"/>
          <w:szCs w:val="24"/>
        </w:rPr>
        <w:t xml:space="preserve"> w wersji papierowej, w U</w:t>
      </w:r>
      <w:r w:rsidR="008E1DDE" w:rsidRPr="003B5185">
        <w:rPr>
          <w:sz w:val="24"/>
          <w:szCs w:val="24"/>
        </w:rPr>
        <w:t xml:space="preserve">rzędzie </w:t>
      </w:r>
      <w:r w:rsidR="003D118C">
        <w:rPr>
          <w:sz w:val="24"/>
          <w:szCs w:val="24"/>
        </w:rPr>
        <w:t xml:space="preserve">Miejskim w Krośniewicach </w:t>
      </w:r>
      <w:r w:rsidRPr="003B5185">
        <w:rPr>
          <w:sz w:val="24"/>
          <w:szCs w:val="24"/>
        </w:rPr>
        <w:t>w godzinach pracy Urzędu oraz w wersji elektronicznej, na stronie internetowej U</w:t>
      </w:r>
      <w:r w:rsidR="003D118C">
        <w:rPr>
          <w:sz w:val="24"/>
          <w:szCs w:val="24"/>
        </w:rPr>
        <w:t>M</w:t>
      </w:r>
      <w:r w:rsidRPr="003B5185">
        <w:rPr>
          <w:sz w:val="24"/>
          <w:szCs w:val="24"/>
        </w:rPr>
        <w:t xml:space="preserve"> oraz opublikowany w Biuletynie Informacji Publicznej Gminy</w:t>
      </w:r>
      <w:r w:rsidR="008E1DDE" w:rsidRPr="003B5185">
        <w:rPr>
          <w:sz w:val="24"/>
          <w:szCs w:val="24"/>
        </w:rPr>
        <w:t>.</w:t>
      </w:r>
      <w:r w:rsidR="000D038F" w:rsidRPr="003B5185">
        <w:rPr>
          <w:sz w:val="24"/>
          <w:szCs w:val="24"/>
        </w:rPr>
        <w:t xml:space="preserve"> </w:t>
      </w:r>
      <w:r w:rsidR="003B5185">
        <w:rPr>
          <w:sz w:val="24"/>
          <w:szCs w:val="24"/>
        </w:rPr>
        <w:t>Na potrzeby konsultacji uruchomiona zosta</w:t>
      </w:r>
      <w:r w:rsidR="005F643E">
        <w:rPr>
          <w:sz w:val="24"/>
          <w:szCs w:val="24"/>
        </w:rPr>
        <w:t>ła</w:t>
      </w:r>
      <w:r w:rsidR="003B5185">
        <w:rPr>
          <w:sz w:val="24"/>
          <w:szCs w:val="24"/>
        </w:rPr>
        <w:t xml:space="preserve"> </w:t>
      </w:r>
      <w:r w:rsidR="003D118C">
        <w:rPr>
          <w:sz w:val="24"/>
          <w:szCs w:val="24"/>
        </w:rPr>
        <w:t xml:space="preserve">również </w:t>
      </w:r>
      <w:r w:rsidR="003B5185">
        <w:rPr>
          <w:sz w:val="24"/>
          <w:szCs w:val="24"/>
        </w:rPr>
        <w:t>ankieta internetowa CAWI</w:t>
      </w:r>
      <w:r w:rsidR="003B5185">
        <w:rPr>
          <w:rStyle w:val="Odwoanieprzypisudolnego"/>
          <w:sz w:val="24"/>
          <w:szCs w:val="24"/>
        </w:rPr>
        <w:footnoteReference w:id="8"/>
      </w:r>
      <w:r w:rsidR="003B5185">
        <w:rPr>
          <w:sz w:val="24"/>
          <w:szCs w:val="24"/>
        </w:rPr>
        <w:t xml:space="preserve"> skierowana do mieszkańców Gminy. </w:t>
      </w:r>
      <w:r w:rsidR="003B5185" w:rsidRPr="003B5185">
        <w:rPr>
          <w:sz w:val="24"/>
          <w:szCs w:val="24"/>
        </w:rPr>
        <w:t>Konsultacje internetowe są szczególnie wartościowe ze względu na ich dostępność i wygodę, umożliwiają udział szerokiego grona mieszkańców niezależnie od wieku, możliwości czy miejsca zamieszkania (co potwierdzają dobre praktyki zarówno w gminie, jak i innych miastach). Wyniki konsultacji stanowi</w:t>
      </w:r>
      <w:r w:rsidR="003B5185">
        <w:rPr>
          <w:sz w:val="24"/>
          <w:szCs w:val="24"/>
        </w:rPr>
        <w:t xml:space="preserve">ć będą </w:t>
      </w:r>
      <w:r w:rsidR="003B5185" w:rsidRPr="003B5185">
        <w:rPr>
          <w:sz w:val="24"/>
          <w:szCs w:val="24"/>
        </w:rPr>
        <w:t>podstawę do opracowania finalnych dokumentów dotyczących wyznaczenia obszaru rewitalizacji oraz wdrożenia najważniejszych społecznie i gospodarczo rozwiązań.</w:t>
      </w:r>
    </w:p>
    <w:bookmarkEnd w:id="42"/>
    <w:p w14:paraId="2372FDB0" w14:textId="77777777" w:rsidR="00BF4FFC" w:rsidRPr="003154B0" w:rsidRDefault="009871AE" w:rsidP="002C517D">
      <w:pPr>
        <w:shd w:val="clear" w:color="auto" w:fill="F2F2F2" w:themeFill="background1" w:themeFillShade="F2"/>
        <w:spacing w:before="120" w:after="0" w:line="264" w:lineRule="auto"/>
        <w:rPr>
          <w:rFonts w:cs="Arial"/>
          <w:bCs/>
          <w:color w:val="262626" w:themeColor="text1" w:themeTint="D9"/>
          <w:sz w:val="24"/>
          <w:szCs w:val="24"/>
        </w:rPr>
      </w:pPr>
      <w:r w:rsidRPr="003154B0">
        <w:rPr>
          <w:rFonts w:cs="Arial"/>
          <w:bCs/>
          <w:color w:val="262626" w:themeColor="text1" w:themeTint="D9"/>
          <w:sz w:val="24"/>
          <w:szCs w:val="24"/>
        </w:rPr>
        <w:t xml:space="preserve">Komitet Rewitalizacji </w:t>
      </w:r>
    </w:p>
    <w:p w14:paraId="6B1E7157" w14:textId="0EC8E5C6" w:rsidR="003B5185" w:rsidRPr="00A85923" w:rsidRDefault="00EE54FE" w:rsidP="00A85923">
      <w:pPr>
        <w:spacing w:before="120" w:after="0" w:line="264" w:lineRule="auto"/>
        <w:rPr>
          <w:rFonts w:cs="Arial"/>
          <w:sz w:val="24"/>
          <w:szCs w:val="24"/>
        </w:rPr>
      </w:pPr>
      <w:r>
        <w:rPr>
          <w:rFonts w:cs="Arial"/>
          <w:sz w:val="24"/>
          <w:szCs w:val="24"/>
        </w:rPr>
        <w:t xml:space="preserve">Na chwilę opracowania niniejszej Diagnozy </w:t>
      </w:r>
      <w:r w:rsidR="00A85923">
        <w:rPr>
          <w:rFonts w:cs="Arial"/>
          <w:sz w:val="24"/>
          <w:szCs w:val="24"/>
        </w:rPr>
        <w:t xml:space="preserve">delimitacyjnej </w:t>
      </w:r>
      <w:r>
        <w:rPr>
          <w:rFonts w:cs="Arial"/>
          <w:sz w:val="24"/>
          <w:szCs w:val="24"/>
        </w:rPr>
        <w:t xml:space="preserve">w Gminie nie został </w:t>
      </w:r>
      <w:proofErr w:type="gramStart"/>
      <w:r>
        <w:rPr>
          <w:rFonts w:cs="Arial"/>
          <w:sz w:val="24"/>
          <w:szCs w:val="24"/>
        </w:rPr>
        <w:t>powołany</w:t>
      </w:r>
      <w:r w:rsidR="003B5185">
        <w:rPr>
          <w:rFonts w:cs="Arial"/>
          <w:sz w:val="24"/>
          <w:szCs w:val="24"/>
        </w:rPr>
        <w:t>,</w:t>
      </w:r>
      <w:proofErr w:type="gramEnd"/>
      <w:r>
        <w:rPr>
          <w:rFonts w:cs="Arial"/>
          <w:sz w:val="24"/>
          <w:szCs w:val="24"/>
        </w:rPr>
        <w:t xml:space="preserve"> ani nie funkcjonował Komitet Rewitalizacji. </w:t>
      </w:r>
      <w:r w:rsidR="009871AE">
        <w:rPr>
          <w:rFonts w:cs="Arial"/>
          <w:sz w:val="24"/>
          <w:szCs w:val="24"/>
        </w:rPr>
        <w:t xml:space="preserve">Zgodnie z art. 7 ust. 3 ustawy o rewitalizacji planuje się powołanie Komitetu Rewitalizacji wraz z określeniem zasad jego funkcjonowania przez Radę </w:t>
      </w:r>
      <w:r w:rsidR="003D118C">
        <w:rPr>
          <w:rFonts w:cs="Arial"/>
          <w:sz w:val="24"/>
          <w:szCs w:val="24"/>
        </w:rPr>
        <w:t>Miejską w Krośniewicach</w:t>
      </w:r>
      <w:r>
        <w:rPr>
          <w:rFonts w:cs="Arial"/>
          <w:sz w:val="24"/>
          <w:szCs w:val="24"/>
        </w:rPr>
        <w:t xml:space="preserve"> przed uchwaleniem </w:t>
      </w:r>
      <w:r w:rsidR="009871AE">
        <w:rPr>
          <w:rFonts w:cs="Arial"/>
          <w:sz w:val="24"/>
          <w:szCs w:val="24"/>
        </w:rPr>
        <w:t>Gminnego Programu Rewitalizacji. Komitet Rewitalizacji stanowi</w:t>
      </w:r>
      <w:r>
        <w:rPr>
          <w:rFonts w:cs="Arial"/>
          <w:sz w:val="24"/>
          <w:szCs w:val="24"/>
        </w:rPr>
        <w:t xml:space="preserve">ć będzie </w:t>
      </w:r>
      <w:r w:rsidR="009871AE">
        <w:rPr>
          <w:rFonts w:cs="Arial"/>
          <w:sz w:val="24"/>
          <w:szCs w:val="24"/>
        </w:rPr>
        <w:t xml:space="preserve">forum współpracy i dialogu interesariuszy z organami gminy w sprawach dotyczących przygotowania, prowadzenia i oceny rewitalizacji oraz pełni funkcję opiniodawczo-doradczą </w:t>
      </w:r>
      <w:r>
        <w:rPr>
          <w:rFonts w:cs="Arial"/>
          <w:sz w:val="24"/>
          <w:szCs w:val="24"/>
        </w:rPr>
        <w:t>Burmistrza Gminy</w:t>
      </w:r>
      <w:r w:rsidR="009871AE">
        <w:rPr>
          <w:rFonts w:cs="Arial"/>
          <w:sz w:val="24"/>
          <w:szCs w:val="24"/>
        </w:rPr>
        <w:t xml:space="preserve">. Jego rola w procesie rewitalizacji jest istotna z uwagi na partycypacyjny charakter działań rewitalizacyjnych podkreślony w ustawie. W zamierzeniu Komitet ma być bowiem łącznikiem między organami gminy, zarządzającymi przygotowaniem i wdrożeniem programu rewitalizacji, a pozostałymi interesariuszami rewitalizacji, którzy w tym procesie powinni odgrywać aktywną rolę. Stanowisko Komitetu Rewitalizacji nie jest wiążące dla organu gminy, a jego uzyskanie nie jest obligatoryjne. Zgodnie z treścią art. 17 ust. 2 pkt 9 ustawy o rewitalizacji, Komitet Rewitalizacji opiniuje projekt gminnego programu rewitalizacji, jeżeli został powołany przed jego uchwaleniem. Zasady funkcjonowania Komitetu Rewitalizacji w drodze uchwały określi Rada </w:t>
      </w:r>
      <w:r w:rsidR="003D118C">
        <w:rPr>
          <w:rFonts w:cs="Arial"/>
          <w:sz w:val="24"/>
          <w:szCs w:val="24"/>
        </w:rPr>
        <w:t xml:space="preserve">Miejska </w:t>
      </w:r>
      <w:r w:rsidR="008E1DDE">
        <w:rPr>
          <w:rFonts w:cs="Arial"/>
          <w:sz w:val="24"/>
          <w:szCs w:val="24"/>
        </w:rPr>
        <w:t xml:space="preserve">przed przyjęciem programu rewitalizacji. </w:t>
      </w:r>
      <w:r w:rsidR="009871AE" w:rsidRPr="00BD2057">
        <w:rPr>
          <w:rFonts w:cs="Arial"/>
          <w:sz w:val="24"/>
          <w:szCs w:val="24"/>
        </w:rPr>
        <w:t>Podjęcie uchwały jest poprzedzone konsultacjami społecznymi. Uchwała nie stanowić będzie aktu prawa miejscowego.</w:t>
      </w:r>
      <w:r w:rsidR="009871AE">
        <w:rPr>
          <w:rFonts w:cs="Arial"/>
          <w:sz w:val="24"/>
          <w:szCs w:val="24"/>
        </w:rPr>
        <w:t xml:space="preserve"> </w:t>
      </w:r>
      <w:bookmarkStart w:id="43" w:name="_Toc59918607"/>
      <w:bookmarkStart w:id="44" w:name="_Toc64132846"/>
      <w:bookmarkStart w:id="45" w:name="_Toc67141071"/>
      <w:bookmarkStart w:id="46" w:name="_Toc67307373"/>
      <w:bookmarkStart w:id="47" w:name="_Toc67310276"/>
      <w:bookmarkStart w:id="48" w:name="_Toc97015004"/>
      <w:bookmarkStart w:id="49" w:name="_Toc97100737"/>
      <w:bookmarkStart w:id="50" w:name="_Toc97364978"/>
      <w:bookmarkStart w:id="51" w:name="_Toc97365024"/>
      <w:bookmarkStart w:id="52" w:name="_Toc108591669"/>
      <w:bookmarkStart w:id="53" w:name="_Toc108592681"/>
      <w:bookmarkStart w:id="54" w:name="_Toc108592746"/>
      <w:bookmarkStart w:id="55" w:name="_Toc133584132"/>
      <w:bookmarkStart w:id="56" w:name="_Toc138666206"/>
    </w:p>
    <w:p w14:paraId="44E14145" w14:textId="6128890C" w:rsidR="00BF4FFC" w:rsidRDefault="009871AE" w:rsidP="00A85923">
      <w:pPr>
        <w:pStyle w:val="Nagwek1"/>
        <w:spacing w:after="240"/>
        <w:rPr>
          <w:rFonts w:ascii="Calibri" w:hAnsi="Calibri"/>
        </w:rPr>
      </w:pPr>
      <w:bookmarkStart w:id="57" w:name="_Toc219271384"/>
      <w:r>
        <w:rPr>
          <w:rFonts w:ascii="Calibri" w:hAnsi="Calibri"/>
        </w:rPr>
        <w:t xml:space="preserve">Rozdział III. </w:t>
      </w:r>
      <w:bookmarkEnd w:id="38"/>
      <w:r>
        <w:rPr>
          <w:rFonts w:ascii="Calibri" w:hAnsi="Calibri"/>
        </w:rPr>
        <w:t>Opis działań diagnostycznych</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Pr>
          <w:rFonts w:ascii="Calibri" w:hAnsi="Calibri"/>
        </w:rPr>
        <w:t xml:space="preserve">  </w:t>
      </w:r>
    </w:p>
    <w:tbl>
      <w:tblPr>
        <w:tblW w:w="9740" w:type="dxa"/>
        <w:tblCellMar>
          <w:left w:w="10" w:type="dxa"/>
          <w:right w:w="10" w:type="dxa"/>
        </w:tblCellMar>
        <w:tblLook w:val="0000" w:firstRow="0" w:lastRow="0" w:firstColumn="0" w:lastColumn="0" w:noHBand="0" w:noVBand="0"/>
      </w:tblPr>
      <w:tblGrid>
        <w:gridCol w:w="9740"/>
      </w:tblGrid>
      <w:tr w:rsidR="00BF4FFC" w14:paraId="4663DA22" w14:textId="77777777" w:rsidTr="00E00542">
        <w:tc>
          <w:tcPr>
            <w:tcW w:w="9740" w:type="dxa"/>
            <w:shd w:val="clear" w:color="auto" w:fill="F2F2F2" w:themeFill="background1" w:themeFillShade="F2"/>
            <w:tcMar>
              <w:top w:w="0" w:type="dxa"/>
              <w:left w:w="108" w:type="dxa"/>
              <w:bottom w:w="0" w:type="dxa"/>
              <w:right w:w="108" w:type="dxa"/>
            </w:tcMar>
          </w:tcPr>
          <w:p w14:paraId="1091D9F9" w14:textId="77777777" w:rsidR="00BF4FFC" w:rsidRDefault="009871AE">
            <w:pPr>
              <w:spacing w:before="120" w:after="120" w:line="264" w:lineRule="auto"/>
              <w:rPr>
                <w:rFonts w:cs="Arial"/>
                <w:i/>
              </w:rPr>
            </w:pPr>
            <w:r w:rsidRPr="006E51DF">
              <w:rPr>
                <w:rFonts w:cs="Arial"/>
                <w:iCs/>
              </w:rPr>
              <w:t xml:space="preserve">Niniejszy rozdział opisuje diagnozę czynników i zjawisk kryzysowych oraz skalę i charakter potrzeb rewitalizacyjnych oraz zasięgi przestrzenne obszaru/obszarów rewitalizacji, tj. określenie, w oparciu o inne dokumenty strategiczne gminy lub </w:t>
            </w:r>
            <w:proofErr w:type="gramStart"/>
            <w:r w:rsidRPr="006E51DF">
              <w:rPr>
                <w:rFonts w:cs="Arial"/>
                <w:iCs/>
              </w:rPr>
              <w:t>diagnozę  i</w:t>
            </w:r>
            <w:proofErr w:type="gramEnd"/>
            <w:r w:rsidRPr="006E51DF">
              <w:rPr>
                <w:rFonts w:cs="Arial"/>
                <w:iCs/>
              </w:rPr>
              <w:t xml:space="preserve"> identyfikację potrzeb rewitalizacyjnych, terytorium/terytoriów najbardziej wymagających wsparcia oraz lokalne potencjały występujące na terenie wyznaczonego obszaru rewitalizacji. W rozdziale znajdują się mapy poszczególnych uwarunkowań społeczno-gospodarczych analizowanych w ramach pogłębionej analizy sytuacji gminy, mapy obszaru zdegradowanego i obszaru rewitalizacji</w:t>
            </w:r>
            <w:r>
              <w:rPr>
                <w:rFonts w:cs="Arial"/>
                <w:i/>
              </w:rPr>
              <w:t xml:space="preserve">. </w:t>
            </w:r>
          </w:p>
        </w:tc>
      </w:tr>
    </w:tbl>
    <w:p w14:paraId="7FB4186C" w14:textId="7C5501A3" w:rsidR="00BF4FFC" w:rsidRPr="002C517D" w:rsidRDefault="009871AE" w:rsidP="003D2355">
      <w:pPr>
        <w:pStyle w:val="Nagwek2"/>
      </w:pPr>
      <w:bookmarkStart w:id="58" w:name="_Toc108591670"/>
      <w:bookmarkStart w:id="59" w:name="_Toc108592682"/>
      <w:bookmarkStart w:id="60" w:name="_Toc108592747"/>
      <w:bookmarkStart w:id="61" w:name="_Toc138666207"/>
      <w:bookmarkStart w:id="62" w:name="_Toc133584133"/>
      <w:bookmarkStart w:id="63" w:name="_Toc219271385"/>
      <w:bookmarkStart w:id="64" w:name="_Toc67141072"/>
      <w:bookmarkStart w:id="65" w:name="_Toc67307374"/>
      <w:bookmarkStart w:id="66" w:name="_Toc67310277"/>
      <w:bookmarkStart w:id="67" w:name="_Toc97015005"/>
      <w:bookmarkStart w:id="68" w:name="_Toc97100738"/>
      <w:bookmarkStart w:id="69" w:name="_Toc97364979"/>
      <w:bookmarkStart w:id="70" w:name="_Toc97365025"/>
      <w:bookmarkEnd w:id="39"/>
      <w:r w:rsidRPr="002C517D">
        <w:lastRenderedPageBreak/>
        <w:t xml:space="preserve">Uproszczona diagnoza </w:t>
      </w:r>
      <w:bookmarkEnd w:id="58"/>
      <w:bookmarkEnd w:id="59"/>
      <w:bookmarkEnd w:id="60"/>
      <w:r w:rsidR="00EE54FE">
        <w:t>G</w:t>
      </w:r>
      <w:r w:rsidR="00E00542" w:rsidRPr="002C517D">
        <w:t>miny</w:t>
      </w:r>
      <w:bookmarkEnd w:id="61"/>
      <w:r w:rsidR="00EE54FE">
        <w:t xml:space="preserve"> </w:t>
      </w:r>
      <w:bookmarkEnd w:id="62"/>
      <w:r w:rsidR="00471510">
        <w:t>Krośniewice</w:t>
      </w:r>
      <w:bookmarkEnd w:id="63"/>
    </w:p>
    <w:bookmarkEnd w:id="64"/>
    <w:bookmarkEnd w:id="65"/>
    <w:bookmarkEnd w:id="66"/>
    <w:bookmarkEnd w:id="67"/>
    <w:bookmarkEnd w:id="68"/>
    <w:bookmarkEnd w:id="69"/>
    <w:bookmarkEnd w:id="70"/>
    <w:p w14:paraId="37116BC9" w14:textId="72E08DB0" w:rsidR="00086942" w:rsidRDefault="00471510" w:rsidP="00853FE2">
      <w:pPr>
        <w:spacing w:before="120" w:after="0" w:line="264" w:lineRule="auto"/>
        <w:rPr>
          <w:sz w:val="24"/>
          <w:szCs w:val="24"/>
        </w:rPr>
      </w:pPr>
      <w:r w:rsidRPr="00471510">
        <w:rPr>
          <w:sz w:val="24"/>
          <w:szCs w:val="24"/>
        </w:rPr>
        <w:t xml:space="preserve">Gmina Krośniewice jest </w:t>
      </w:r>
      <w:r w:rsidRPr="00471510">
        <w:rPr>
          <w:b/>
          <w:bCs/>
          <w:sz w:val="24"/>
          <w:szCs w:val="24"/>
        </w:rPr>
        <w:t>gminą miejsko-wiejską</w:t>
      </w:r>
      <w:r w:rsidRPr="00471510">
        <w:rPr>
          <w:sz w:val="24"/>
          <w:szCs w:val="24"/>
        </w:rPr>
        <w:t xml:space="preserve"> położoną w północnej części </w:t>
      </w:r>
      <w:r w:rsidRPr="00AD2D77">
        <w:rPr>
          <w:b/>
          <w:bCs/>
          <w:sz w:val="24"/>
          <w:szCs w:val="24"/>
        </w:rPr>
        <w:t>województwa łódzkiego</w:t>
      </w:r>
      <w:r w:rsidRPr="00471510">
        <w:rPr>
          <w:sz w:val="24"/>
          <w:szCs w:val="24"/>
        </w:rPr>
        <w:t xml:space="preserve">, w zachodniej części </w:t>
      </w:r>
      <w:r w:rsidRPr="00471510">
        <w:rPr>
          <w:b/>
          <w:bCs/>
          <w:sz w:val="24"/>
          <w:szCs w:val="24"/>
        </w:rPr>
        <w:t>powiatu kutnowskiego</w:t>
      </w:r>
      <w:r w:rsidRPr="00471510">
        <w:rPr>
          <w:sz w:val="24"/>
          <w:szCs w:val="24"/>
        </w:rPr>
        <w:t>. Siedzibą gminy jest miasto Krośniewice, pełniące funkcję głównego ośrodka administracyjnego, usługowego i gospodarczego</w:t>
      </w:r>
      <w:r w:rsidR="003D118C">
        <w:rPr>
          <w:sz w:val="24"/>
          <w:szCs w:val="24"/>
        </w:rPr>
        <w:t>; g</w:t>
      </w:r>
      <w:r w:rsidR="00853FE2" w:rsidRPr="00853FE2">
        <w:rPr>
          <w:sz w:val="24"/>
          <w:szCs w:val="24"/>
        </w:rPr>
        <w:t>raniczy: od zachodu z gminą Chodów w województwie</w:t>
      </w:r>
      <w:r w:rsidR="00853FE2">
        <w:rPr>
          <w:sz w:val="24"/>
          <w:szCs w:val="24"/>
        </w:rPr>
        <w:t xml:space="preserve"> </w:t>
      </w:r>
      <w:r w:rsidR="00853FE2" w:rsidRPr="00853FE2">
        <w:rPr>
          <w:sz w:val="24"/>
          <w:szCs w:val="24"/>
        </w:rPr>
        <w:t>wielkopolskim, od północy z gminami Dąbrowice i Nowe Ostrowy, od wschodu z gminą Kutno,</w:t>
      </w:r>
      <w:r w:rsidR="00853FE2">
        <w:rPr>
          <w:sz w:val="24"/>
          <w:szCs w:val="24"/>
        </w:rPr>
        <w:t xml:space="preserve"> </w:t>
      </w:r>
      <w:r w:rsidR="00853FE2" w:rsidRPr="00853FE2">
        <w:rPr>
          <w:sz w:val="24"/>
          <w:szCs w:val="24"/>
        </w:rPr>
        <w:t>a od południa z gminą Daszyna położoną w powiecie łęczyckim. Siedzibą gminy jest miasto</w:t>
      </w:r>
      <w:r w:rsidR="00853FE2">
        <w:rPr>
          <w:sz w:val="24"/>
          <w:szCs w:val="24"/>
        </w:rPr>
        <w:t xml:space="preserve"> </w:t>
      </w:r>
      <w:r w:rsidR="00853FE2" w:rsidRPr="00853FE2">
        <w:rPr>
          <w:sz w:val="24"/>
          <w:szCs w:val="24"/>
        </w:rPr>
        <w:t>Krośniewice, oddalone od stolicy powiatu – Kutna o 15 km</w:t>
      </w:r>
    </w:p>
    <w:p w14:paraId="79AE1B6C" w14:textId="2C73853A" w:rsidR="00E35919" w:rsidRDefault="003D118C" w:rsidP="00E35919">
      <w:pPr>
        <w:spacing w:before="120" w:after="0" w:line="264" w:lineRule="auto"/>
        <w:rPr>
          <w:sz w:val="24"/>
          <w:szCs w:val="24"/>
        </w:rPr>
      </w:pPr>
      <w:r>
        <w:rPr>
          <w:sz w:val="24"/>
          <w:szCs w:val="24"/>
        </w:rPr>
        <w:t>K</w:t>
      </w:r>
      <w:r w:rsidR="00E35919" w:rsidRPr="00471510">
        <w:rPr>
          <w:sz w:val="24"/>
          <w:szCs w:val="24"/>
        </w:rPr>
        <w:t>rośniewice zajmuj</w:t>
      </w:r>
      <w:r>
        <w:rPr>
          <w:sz w:val="24"/>
          <w:szCs w:val="24"/>
        </w:rPr>
        <w:t xml:space="preserve">ą </w:t>
      </w:r>
      <w:r w:rsidR="00E35919" w:rsidRPr="00471510">
        <w:rPr>
          <w:sz w:val="24"/>
          <w:szCs w:val="24"/>
        </w:rPr>
        <w:t xml:space="preserve">powierzchnię 94,69 km², z czego powierzchnia miasta wynosi 4,175 km², a obszaru wiejskiego 90,515 km². </w:t>
      </w:r>
      <w:bookmarkStart w:id="71" w:name="_Hlk218594264"/>
      <w:r w:rsidR="00E35919">
        <w:rPr>
          <w:sz w:val="24"/>
          <w:szCs w:val="24"/>
        </w:rPr>
        <w:t xml:space="preserve">Gmina podzielona jest </w:t>
      </w:r>
      <w:r w:rsidR="00E35919" w:rsidRPr="00471510">
        <w:rPr>
          <w:sz w:val="24"/>
          <w:szCs w:val="24"/>
        </w:rPr>
        <w:t xml:space="preserve">na 22 sołectwa, w granicach których znajduje się 45 wsi, natomiast miasto </w:t>
      </w:r>
      <w:r w:rsidR="00E35919" w:rsidRPr="00CA3284">
        <w:rPr>
          <w:sz w:val="24"/>
          <w:szCs w:val="24"/>
        </w:rPr>
        <w:t>Krośniewice podzielone jest na 6 osiedli.</w:t>
      </w:r>
      <w:bookmarkEnd w:id="71"/>
      <w:r w:rsidR="00E35919" w:rsidRPr="00E35919">
        <w:rPr>
          <w:sz w:val="24"/>
          <w:szCs w:val="24"/>
        </w:rPr>
        <w:t xml:space="preserve"> </w:t>
      </w:r>
      <w:r w:rsidR="00E35919">
        <w:rPr>
          <w:sz w:val="24"/>
          <w:szCs w:val="24"/>
        </w:rPr>
        <w:t xml:space="preserve">Średnia gęstość zaludnienia gminy wynosi 80 </w:t>
      </w:r>
      <w:r w:rsidR="00E35919" w:rsidRPr="00CA3284">
        <w:rPr>
          <w:sz w:val="24"/>
          <w:szCs w:val="24"/>
        </w:rPr>
        <w:t>osoba/km²</w:t>
      </w:r>
      <w:r w:rsidR="00E35919">
        <w:rPr>
          <w:sz w:val="24"/>
          <w:szCs w:val="24"/>
        </w:rPr>
        <w:t xml:space="preserve"> i plasuje się na średnim poziomie powiatu, z wyłączeniem miasta </w:t>
      </w:r>
      <w:proofErr w:type="gramStart"/>
      <w:r w:rsidR="00E35919">
        <w:rPr>
          <w:sz w:val="24"/>
          <w:szCs w:val="24"/>
        </w:rPr>
        <w:t>Kutno</w:t>
      </w:r>
      <w:proofErr w:type="gramEnd"/>
      <w:r w:rsidR="00E35919">
        <w:rPr>
          <w:sz w:val="24"/>
          <w:szCs w:val="24"/>
        </w:rPr>
        <w:t xml:space="preserve"> gdzie średnia gęstość zaludnienia wynosi 1201 </w:t>
      </w:r>
      <w:r w:rsidR="00E35919" w:rsidRPr="00CA3284">
        <w:rPr>
          <w:sz w:val="24"/>
          <w:szCs w:val="24"/>
        </w:rPr>
        <w:t>osoba/km²</w:t>
      </w:r>
      <w:r w:rsidR="00E35919">
        <w:rPr>
          <w:sz w:val="24"/>
          <w:szCs w:val="24"/>
        </w:rPr>
        <w:t xml:space="preserve">. </w:t>
      </w:r>
    </w:p>
    <w:p w14:paraId="2B7CA60E" w14:textId="41D70BB0" w:rsidR="00853FE2" w:rsidRPr="00422064" w:rsidRDefault="00853FE2" w:rsidP="00422064">
      <w:pPr>
        <w:pStyle w:val="Legenda"/>
      </w:pPr>
      <w:r>
        <w:t xml:space="preserve">Mapa </w:t>
      </w:r>
      <w:fldSimple w:instr=" SEQ Mapa \* ARABIC ">
        <w:r>
          <w:rPr>
            <w:noProof/>
          </w:rPr>
          <w:t>1</w:t>
        </w:r>
      </w:fldSimple>
      <w:r>
        <w:t xml:space="preserve">. Podział administracyjny Gminy Krośniewice </w:t>
      </w:r>
    </w:p>
    <w:p w14:paraId="798FDDE1" w14:textId="5EEE45C8" w:rsidR="00853FE2" w:rsidRPr="00E35919" w:rsidRDefault="00853FE2" w:rsidP="001328FC">
      <w:pPr>
        <w:spacing w:before="120" w:after="0"/>
        <w:ind w:left="-284"/>
        <w:rPr>
          <w:sz w:val="24"/>
          <w:szCs w:val="24"/>
        </w:rPr>
      </w:pPr>
      <w:r>
        <w:rPr>
          <w:noProof/>
        </w:rPr>
        <w:drawing>
          <wp:inline distT="0" distB="0" distL="0" distR="0" wp14:anchorId="75F7E24B" wp14:editId="06C93018">
            <wp:extent cx="6231478" cy="4711700"/>
            <wp:effectExtent l="0" t="0" r="0" b="0"/>
            <wp:docPr id="18964807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80777" name=""/>
                    <pic:cNvPicPr/>
                  </pic:nvPicPr>
                  <pic:blipFill>
                    <a:blip r:embed="rId9"/>
                    <a:stretch>
                      <a:fillRect/>
                    </a:stretch>
                  </pic:blipFill>
                  <pic:spPr>
                    <a:xfrm>
                      <a:off x="0" y="0"/>
                      <a:ext cx="6249998" cy="4725703"/>
                    </a:xfrm>
                    <a:prstGeom prst="rect">
                      <a:avLst/>
                    </a:prstGeom>
                  </pic:spPr>
                </pic:pic>
              </a:graphicData>
            </a:graphic>
          </wp:inline>
        </w:drawing>
      </w:r>
    </w:p>
    <w:p w14:paraId="79A545A5" w14:textId="6231FD0E" w:rsidR="00853FE2" w:rsidRDefault="00853FE2" w:rsidP="00471510">
      <w:pPr>
        <w:spacing w:before="120" w:after="0" w:line="264" w:lineRule="auto"/>
        <w:rPr>
          <w:sz w:val="24"/>
          <w:szCs w:val="24"/>
        </w:rPr>
      </w:pPr>
      <w:r w:rsidRPr="00853FE2">
        <w:rPr>
          <w:sz w:val="24"/>
          <w:szCs w:val="24"/>
        </w:rPr>
        <w:t xml:space="preserve">Źródło: </w:t>
      </w:r>
      <w:r>
        <w:rPr>
          <w:sz w:val="24"/>
          <w:szCs w:val="24"/>
        </w:rPr>
        <w:t xml:space="preserve">Raport o stanie gminy </w:t>
      </w:r>
      <w:r w:rsidR="00422064">
        <w:rPr>
          <w:sz w:val="24"/>
          <w:szCs w:val="24"/>
        </w:rPr>
        <w:t xml:space="preserve">Krośniewice </w:t>
      </w:r>
      <w:r>
        <w:rPr>
          <w:sz w:val="24"/>
          <w:szCs w:val="24"/>
        </w:rPr>
        <w:t xml:space="preserve">za 2024 rok </w:t>
      </w:r>
    </w:p>
    <w:p w14:paraId="005B75F2" w14:textId="43664AF6" w:rsidR="00E35919" w:rsidRDefault="00086942" w:rsidP="00471510">
      <w:pPr>
        <w:spacing w:before="120" w:after="0" w:line="264" w:lineRule="auto"/>
        <w:rPr>
          <w:sz w:val="24"/>
          <w:szCs w:val="24"/>
        </w:rPr>
      </w:pPr>
      <w:r>
        <w:rPr>
          <w:sz w:val="24"/>
          <w:szCs w:val="24"/>
        </w:rPr>
        <w:t xml:space="preserve">Wg danych </w:t>
      </w:r>
      <w:r w:rsidR="00E35919">
        <w:rPr>
          <w:sz w:val="24"/>
          <w:szCs w:val="24"/>
        </w:rPr>
        <w:t>Urzędu Miejskiego</w:t>
      </w:r>
      <w:r>
        <w:rPr>
          <w:sz w:val="24"/>
          <w:szCs w:val="24"/>
        </w:rPr>
        <w:t xml:space="preserve"> n</w:t>
      </w:r>
      <w:r w:rsidR="00A71F59">
        <w:rPr>
          <w:sz w:val="24"/>
          <w:szCs w:val="24"/>
        </w:rPr>
        <w:t xml:space="preserve">a koniec 2024 roku </w:t>
      </w:r>
      <w:r w:rsidR="00471510" w:rsidRPr="00471510">
        <w:rPr>
          <w:sz w:val="24"/>
          <w:szCs w:val="24"/>
        </w:rPr>
        <w:t>Gmin</w:t>
      </w:r>
      <w:r w:rsidR="00A71F59">
        <w:rPr>
          <w:sz w:val="24"/>
          <w:szCs w:val="24"/>
        </w:rPr>
        <w:t xml:space="preserve">ę Krośniewice zamieszkiwało </w:t>
      </w:r>
      <w:r w:rsidR="00E35919" w:rsidRPr="007919C1">
        <w:rPr>
          <w:b/>
          <w:bCs/>
          <w:sz w:val="24"/>
          <w:szCs w:val="24"/>
        </w:rPr>
        <w:t>7549 osób</w:t>
      </w:r>
      <w:r w:rsidR="00E35919" w:rsidRPr="00E35919">
        <w:rPr>
          <w:sz w:val="24"/>
          <w:szCs w:val="24"/>
        </w:rPr>
        <w:t xml:space="preserve"> – w tym</w:t>
      </w:r>
      <w:r w:rsidR="00E35919">
        <w:rPr>
          <w:sz w:val="24"/>
          <w:szCs w:val="24"/>
        </w:rPr>
        <w:t xml:space="preserve"> </w:t>
      </w:r>
      <w:r w:rsidR="00E35919" w:rsidRPr="00E35919">
        <w:rPr>
          <w:sz w:val="24"/>
          <w:szCs w:val="24"/>
        </w:rPr>
        <w:t>3974 kobiet oraz 3575 mężczyzn</w:t>
      </w:r>
      <w:r w:rsidR="00E35919">
        <w:rPr>
          <w:sz w:val="24"/>
          <w:szCs w:val="24"/>
        </w:rPr>
        <w:t xml:space="preserve">; </w:t>
      </w:r>
      <w:r w:rsidR="00E35919" w:rsidRPr="00E35919">
        <w:rPr>
          <w:sz w:val="24"/>
          <w:szCs w:val="24"/>
        </w:rPr>
        <w:t>liczba mieszkanek i mieszkańców</w:t>
      </w:r>
      <w:r w:rsidR="00E35919">
        <w:rPr>
          <w:sz w:val="24"/>
          <w:szCs w:val="24"/>
        </w:rPr>
        <w:t xml:space="preserve"> </w:t>
      </w:r>
      <w:r w:rsidR="00E35919" w:rsidRPr="00E35919">
        <w:rPr>
          <w:sz w:val="24"/>
          <w:szCs w:val="24"/>
        </w:rPr>
        <w:t>zmniejszyła się o 121 osób</w:t>
      </w:r>
      <w:r w:rsidR="00E35919">
        <w:rPr>
          <w:sz w:val="24"/>
          <w:szCs w:val="24"/>
        </w:rPr>
        <w:t xml:space="preserve"> (1,6%) w stosunku do roku 2023. </w:t>
      </w:r>
      <w:r w:rsidR="00E35919" w:rsidRPr="00E35919">
        <w:rPr>
          <w:sz w:val="24"/>
          <w:szCs w:val="24"/>
        </w:rPr>
        <w:t>Łącznie liczba mieszkańców Gminy Krośniewice</w:t>
      </w:r>
      <w:r w:rsidR="00E35919">
        <w:rPr>
          <w:sz w:val="24"/>
          <w:szCs w:val="24"/>
        </w:rPr>
        <w:t xml:space="preserve"> </w:t>
      </w:r>
      <w:r w:rsidR="00E35919" w:rsidRPr="00E35919">
        <w:rPr>
          <w:sz w:val="24"/>
          <w:szCs w:val="24"/>
        </w:rPr>
        <w:t>w dniu 31 grudnia 2024 r. wyniosła 7549,</w:t>
      </w:r>
      <w:r w:rsidR="00E35919">
        <w:rPr>
          <w:sz w:val="24"/>
          <w:szCs w:val="24"/>
        </w:rPr>
        <w:t xml:space="preserve"> </w:t>
      </w:r>
      <w:r w:rsidR="00E35919" w:rsidRPr="00E35919">
        <w:rPr>
          <w:sz w:val="24"/>
          <w:szCs w:val="24"/>
        </w:rPr>
        <w:t xml:space="preserve">z czego </w:t>
      </w:r>
      <w:r w:rsidR="00E35919" w:rsidRPr="00853FE2">
        <w:rPr>
          <w:sz w:val="24"/>
          <w:szCs w:val="24"/>
        </w:rPr>
        <w:t>3807 w mieście Krośniewice i 3742 na obszarach wiejskich.</w:t>
      </w:r>
      <w:r w:rsidR="00E35919">
        <w:rPr>
          <w:sz w:val="24"/>
          <w:szCs w:val="24"/>
        </w:rPr>
        <w:t xml:space="preserve"> </w:t>
      </w:r>
      <w:r w:rsidR="00853FE2">
        <w:rPr>
          <w:sz w:val="24"/>
          <w:szCs w:val="24"/>
        </w:rPr>
        <w:t xml:space="preserve">Ludność gminy stanowi </w:t>
      </w:r>
      <w:r w:rsidR="00853FE2" w:rsidRPr="00471510">
        <w:rPr>
          <w:sz w:val="24"/>
          <w:szCs w:val="24"/>
        </w:rPr>
        <w:t>7,8% ludności powiatu</w:t>
      </w:r>
      <w:r w:rsidR="00853FE2">
        <w:rPr>
          <w:sz w:val="24"/>
          <w:szCs w:val="24"/>
        </w:rPr>
        <w:t xml:space="preserve"> kutnowskiego</w:t>
      </w:r>
      <w:r w:rsidR="00853FE2" w:rsidRPr="00471510">
        <w:rPr>
          <w:sz w:val="24"/>
          <w:szCs w:val="24"/>
        </w:rPr>
        <w:t>.</w:t>
      </w:r>
      <w:r w:rsidR="00AD2D77">
        <w:rPr>
          <w:sz w:val="24"/>
          <w:szCs w:val="24"/>
        </w:rPr>
        <w:t xml:space="preserve"> </w:t>
      </w:r>
    </w:p>
    <w:p w14:paraId="026F7B8E" w14:textId="77777777" w:rsidR="001328FC" w:rsidRDefault="001328FC" w:rsidP="00471510">
      <w:pPr>
        <w:spacing w:before="120" w:after="0" w:line="264" w:lineRule="auto"/>
        <w:rPr>
          <w:sz w:val="24"/>
          <w:szCs w:val="24"/>
        </w:rPr>
      </w:pPr>
    </w:p>
    <w:p w14:paraId="517A0BE3" w14:textId="50ECB251" w:rsidR="002F4485" w:rsidRPr="00323FA0" w:rsidRDefault="002F4485" w:rsidP="002F4485">
      <w:pPr>
        <w:pStyle w:val="Legenda"/>
      </w:pPr>
      <w:bookmarkStart w:id="72" w:name="_Toc219274337"/>
      <w:r w:rsidRPr="003000AC">
        <w:lastRenderedPageBreak/>
        <w:t xml:space="preserve">Tabela </w:t>
      </w:r>
      <w:fldSimple w:instr=" SEQ Tabela \* ARABIC ">
        <w:r>
          <w:rPr>
            <w:noProof/>
          </w:rPr>
          <w:t>1</w:t>
        </w:r>
      </w:fldSimple>
      <w:r w:rsidRPr="003000AC">
        <w:t xml:space="preserve">. </w:t>
      </w:r>
      <w:r>
        <w:t xml:space="preserve">Podział </w:t>
      </w:r>
      <w:r w:rsidR="00CA3284">
        <w:t xml:space="preserve">administracyjny Gminy Krośniewice na osiedla i sołectwa </w:t>
      </w:r>
      <w:r w:rsidR="00853FE2">
        <w:t>wg. danych za 2024 rok</w:t>
      </w:r>
      <w:bookmarkEnd w:id="72"/>
    </w:p>
    <w:tbl>
      <w:tblPr>
        <w:tblStyle w:val="Tabela-Siatka"/>
        <w:tblW w:w="9492" w:type="dxa"/>
        <w:tblLayout w:type="fixed"/>
        <w:tblLook w:val="04A0" w:firstRow="1" w:lastRow="0" w:firstColumn="1" w:lastColumn="0" w:noHBand="0" w:noVBand="1"/>
      </w:tblPr>
      <w:tblGrid>
        <w:gridCol w:w="562"/>
        <w:gridCol w:w="2552"/>
        <w:gridCol w:w="4536"/>
        <w:gridCol w:w="1842"/>
      </w:tblGrid>
      <w:tr w:rsidR="002F4485" w:rsidRPr="002F4485" w14:paraId="7AD669AA" w14:textId="77777777" w:rsidTr="00F02597">
        <w:tc>
          <w:tcPr>
            <w:tcW w:w="562" w:type="dxa"/>
            <w:shd w:val="clear" w:color="auto" w:fill="4472C4" w:themeFill="accent1"/>
            <w:vAlign w:val="center"/>
          </w:tcPr>
          <w:p w14:paraId="5226E28C" w14:textId="77777777" w:rsidR="002F4485" w:rsidRPr="002F4485" w:rsidRDefault="002F4485" w:rsidP="002F4485">
            <w:pPr>
              <w:jc w:val="center"/>
              <w:rPr>
                <w:rFonts w:asciiTheme="minorHAnsi" w:hAnsiTheme="minorHAnsi" w:cstheme="minorHAnsi"/>
                <w:color w:val="FFFFFF" w:themeColor="background1"/>
              </w:rPr>
            </w:pPr>
            <w:bookmarkStart w:id="73" w:name="_Hlk218594197"/>
            <w:r w:rsidRPr="002F4485">
              <w:rPr>
                <w:rFonts w:asciiTheme="minorHAnsi" w:hAnsiTheme="minorHAnsi" w:cstheme="minorHAnsi"/>
                <w:color w:val="FFFFFF" w:themeColor="background1"/>
              </w:rPr>
              <w:t>Nr</w:t>
            </w:r>
          </w:p>
        </w:tc>
        <w:tc>
          <w:tcPr>
            <w:tcW w:w="2552" w:type="dxa"/>
            <w:shd w:val="clear" w:color="auto" w:fill="4472C4" w:themeFill="accent1"/>
            <w:vAlign w:val="center"/>
          </w:tcPr>
          <w:p w14:paraId="38CE01F5" w14:textId="62CEB069" w:rsidR="002F4485" w:rsidRPr="002F4485" w:rsidRDefault="002F4485" w:rsidP="002F4485">
            <w:pPr>
              <w:jc w:val="center"/>
              <w:rPr>
                <w:rFonts w:asciiTheme="minorHAnsi" w:hAnsiTheme="minorHAnsi" w:cstheme="minorHAnsi"/>
                <w:color w:val="FFFFFF" w:themeColor="background1"/>
              </w:rPr>
            </w:pPr>
            <w:r w:rsidRPr="002F4485">
              <w:rPr>
                <w:rFonts w:asciiTheme="minorHAnsi" w:hAnsiTheme="minorHAnsi" w:cstheme="minorHAnsi"/>
                <w:color w:val="FFFFFF" w:themeColor="background1"/>
              </w:rPr>
              <w:t>Osiedle</w:t>
            </w:r>
            <w:r w:rsidR="00CA3284">
              <w:rPr>
                <w:rFonts w:asciiTheme="minorHAnsi" w:hAnsiTheme="minorHAnsi" w:cstheme="minorHAnsi"/>
                <w:color w:val="FFFFFF" w:themeColor="background1"/>
              </w:rPr>
              <w:t xml:space="preserve"> / Sołectwo </w:t>
            </w:r>
          </w:p>
        </w:tc>
        <w:tc>
          <w:tcPr>
            <w:tcW w:w="4536" w:type="dxa"/>
            <w:shd w:val="clear" w:color="auto" w:fill="4472C4" w:themeFill="accent1"/>
            <w:vAlign w:val="center"/>
          </w:tcPr>
          <w:p w14:paraId="522DD976" w14:textId="0EAA3B77" w:rsidR="002F4485" w:rsidRPr="002F4485" w:rsidRDefault="002F4485" w:rsidP="002F4485">
            <w:pPr>
              <w:jc w:val="center"/>
              <w:rPr>
                <w:rFonts w:asciiTheme="minorHAnsi" w:hAnsiTheme="minorHAnsi" w:cstheme="minorHAnsi"/>
                <w:color w:val="FFFFFF" w:themeColor="background1"/>
              </w:rPr>
            </w:pPr>
            <w:r w:rsidRPr="002F4485">
              <w:rPr>
                <w:rFonts w:asciiTheme="minorHAnsi" w:hAnsiTheme="minorHAnsi" w:cstheme="minorHAnsi"/>
                <w:color w:val="FFFFFF" w:themeColor="background1"/>
              </w:rPr>
              <w:t xml:space="preserve">Ulice </w:t>
            </w:r>
            <w:r w:rsidR="00CA3284">
              <w:rPr>
                <w:rFonts w:asciiTheme="minorHAnsi" w:hAnsiTheme="minorHAnsi" w:cstheme="minorHAnsi"/>
                <w:color w:val="FFFFFF" w:themeColor="background1"/>
              </w:rPr>
              <w:t xml:space="preserve">/ miejscowości </w:t>
            </w:r>
          </w:p>
        </w:tc>
        <w:tc>
          <w:tcPr>
            <w:tcW w:w="1842" w:type="dxa"/>
            <w:shd w:val="clear" w:color="auto" w:fill="4472C4" w:themeFill="accent1"/>
            <w:vAlign w:val="center"/>
          </w:tcPr>
          <w:p w14:paraId="43FC6C51" w14:textId="41B1C7C2" w:rsidR="002F4485" w:rsidRPr="002F4485" w:rsidRDefault="002F4485" w:rsidP="002F4485">
            <w:pPr>
              <w:jc w:val="center"/>
              <w:rPr>
                <w:rFonts w:asciiTheme="minorHAnsi" w:hAnsiTheme="minorHAnsi" w:cstheme="minorHAnsi"/>
                <w:color w:val="FFFFFF" w:themeColor="background1"/>
              </w:rPr>
            </w:pPr>
            <w:r w:rsidRPr="002F4485">
              <w:rPr>
                <w:rFonts w:asciiTheme="minorHAnsi" w:hAnsiTheme="minorHAnsi" w:cstheme="minorHAnsi"/>
                <w:color w:val="FFFFFF" w:themeColor="background1"/>
              </w:rPr>
              <w:t xml:space="preserve">Liczba mieszkańców na 2024 rok </w:t>
            </w:r>
          </w:p>
        </w:tc>
      </w:tr>
      <w:tr w:rsidR="00853FE2" w:rsidRPr="002F4485" w14:paraId="397CFB9B" w14:textId="77777777" w:rsidTr="00853FE2">
        <w:tc>
          <w:tcPr>
            <w:tcW w:w="562" w:type="dxa"/>
            <w:vAlign w:val="center"/>
          </w:tcPr>
          <w:p w14:paraId="251512F1" w14:textId="77777777" w:rsidR="00853FE2" w:rsidRPr="002F4485" w:rsidRDefault="00853FE2" w:rsidP="00853FE2">
            <w:pPr>
              <w:rPr>
                <w:rFonts w:asciiTheme="minorHAnsi" w:hAnsiTheme="minorHAnsi" w:cstheme="minorHAnsi"/>
              </w:rPr>
            </w:pPr>
            <w:r w:rsidRPr="002F4485">
              <w:rPr>
                <w:rFonts w:asciiTheme="minorHAnsi" w:hAnsiTheme="minorHAnsi" w:cstheme="minorHAnsi"/>
              </w:rPr>
              <w:t xml:space="preserve"> 1.</w:t>
            </w:r>
          </w:p>
        </w:tc>
        <w:tc>
          <w:tcPr>
            <w:tcW w:w="2552" w:type="dxa"/>
            <w:vAlign w:val="center"/>
          </w:tcPr>
          <w:p w14:paraId="34846D16" w14:textId="77777777" w:rsidR="00853FE2" w:rsidRPr="002F4485" w:rsidRDefault="00853FE2" w:rsidP="00853FE2">
            <w:pPr>
              <w:rPr>
                <w:rFonts w:asciiTheme="minorHAnsi" w:hAnsiTheme="minorHAnsi" w:cstheme="minorHAnsi"/>
              </w:rPr>
            </w:pPr>
            <w:r w:rsidRPr="002F4485">
              <w:rPr>
                <w:rFonts w:asciiTheme="minorHAnsi" w:hAnsiTheme="minorHAnsi" w:cstheme="minorHAnsi"/>
              </w:rPr>
              <w:t>Osiedle nr 1</w:t>
            </w:r>
          </w:p>
        </w:tc>
        <w:tc>
          <w:tcPr>
            <w:tcW w:w="4536" w:type="dxa"/>
            <w:vAlign w:val="center"/>
          </w:tcPr>
          <w:p w14:paraId="2A97479A" w14:textId="77777777" w:rsidR="00853FE2" w:rsidRDefault="00853FE2" w:rsidP="00853FE2">
            <w:r>
              <w:t>Plac Wolności</w:t>
            </w:r>
          </w:p>
          <w:p w14:paraId="08A29C8A" w14:textId="77777777" w:rsidR="00853FE2" w:rsidRDefault="00853FE2" w:rsidP="00853FE2">
            <w:r>
              <w:t>Kutnowska</w:t>
            </w:r>
          </w:p>
          <w:p w14:paraId="615C1972" w14:textId="77777777" w:rsidR="00853FE2" w:rsidRDefault="00853FE2" w:rsidP="00853FE2">
            <w:r>
              <w:t>Poznańska strona północna</w:t>
            </w:r>
          </w:p>
          <w:p w14:paraId="254916EA" w14:textId="77777777" w:rsidR="00853FE2" w:rsidRDefault="00853FE2" w:rsidP="00853FE2">
            <w:r>
              <w:t>Henryka Sienkiewicza</w:t>
            </w:r>
          </w:p>
          <w:p w14:paraId="0000C316" w14:textId="77777777" w:rsidR="00853FE2" w:rsidRDefault="00853FE2" w:rsidP="00853FE2">
            <w:r>
              <w:t>3 Maja</w:t>
            </w:r>
          </w:p>
          <w:p w14:paraId="3848DFAF" w14:textId="77777777" w:rsidR="00853FE2" w:rsidRDefault="00853FE2" w:rsidP="00853FE2">
            <w:r>
              <w:t>Płocka</w:t>
            </w:r>
          </w:p>
          <w:p w14:paraId="5759AE0C" w14:textId="5EBA1B5C" w:rsidR="00853FE2" w:rsidRPr="002F4485" w:rsidRDefault="00853FE2" w:rsidP="00853FE2">
            <w:r>
              <w:t>Targowa – północna strona od ulicy Łęczyckiej do ul. 3 Maja (nr 1 do nr 11)</w:t>
            </w:r>
          </w:p>
        </w:tc>
        <w:tc>
          <w:tcPr>
            <w:tcW w:w="1842" w:type="dxa"/>
            <w:vAlign w:val="center"/>
          </w:tcPr>
          <w:p w14:paraId="2676E006" w14:textId="2293ED5B" w:rsidR="00853FE2" w:rsidRPr="002F4485" w:rsidRDefault="00853FE2" w:rsidP="00853FE2">
            <w:pPr>
              <w:rPr>
                <w:rFonts w:asciiTheme="minorHAnsi" w:hAnsiTheme="minorHAnsi" w:cstheme="minorHAnsi"/>
              </w:rPr>
            </w:pPr>
            <w:r>
              <w:rPr>
                <w:rFonts w:cs="Calibri"/>
                <w:color w:val="000000"/>
              </w:rPr>
              <w:t>570</w:t>
            </w:r>
          </w:p>
        </w:tc>
      </w:tr>
      <w:tr w:rsidR="00853FE2" w:rsidRPr="002F4485" w14:paraId="0FFF00D9" w14:textId="77777777" w:rsidTr="00853FE2">
        <w:tc>
          <w:tcPr>
            <w:tcW w:w="562" w:type="dxa"/>
            <w:vAlign w:val="center"/>
          </w:tcPr>
          <w:p w14:paraId="0ACD3058" w14:textId="0ACABC7B" w:rsidR="00853FE2" w:rsidRPr="002F4485" w:rsidRDefault="00853FE2" w:rsidP="00853FE2">
            <w:pPr>
              <w:rPr>
                <w:rFonts w:asciiTheme="minorHAnsi" w:hAnsiTheme="minorHAnsi" w:cstheme="minorHAnsi"/>
              </w:rPr>
            </w:pPr>
            <w:r w:rsidRPr="002F4485">
              <w:rPr>
                <w:rFonts w:asciiTheme="minorHAnsi" w:hAnsiTheme="minorHAnsi" w:cstheme="minorHAnsi"/>
              </w:rPr>
              <w:t xml:space="preserve"> 2.</w:t>
            </w:r>
          </w:p>
        </w:tc>
        <w:tc>
          <w:tcPr>
            <w:tcW w:w="2552" w:type="dxa"/>
            <w:vAlign w:val="center"/>
          </w:tcPr>
          <w:p w14:paraId="7CC45AEF" w14:textId="0D6A64EE" w:rsidR="00853FE2" w:rsidRPr="002F4485" w:rsidRDefault="00853FE2" w:rsidP="00853FE2">
            <w:pPr>
              <w:rPr>
                <w:rFonts w:asciiTheme="minorHAnsi" w:hAnsiTheme="minorHAnsi" w:cstheme="minorHAnsi"/>
              </w:rPr>
            </w:pPr>
            <w:r w:rsidRPr="002F4485">
              <w:rPr>
                <w:rFonts w:asciiTheme="minorHAnsi" w:hAnsiTheme="minorHAnsi" w:cstheme="minorHAnsi"/>
              </w:rPr>
              <w:t xml:space="preserve">Osiedle nr </w:t>
            </w:r>
            <w:r>
              <w:rPr>
                <w:rFonts w:asciiTheme="minorHAnsi" w:hAnsiTheme="minorHAnsi" w:cstheme="minorHAnsi"/>
              </w:rPr>
              <w:t>2</w:t>
            </w:r>
          </w:p>
        </w:tc>
        <w:tc>
          <w:tcPr>
            <w:tcW w:w="4536" w:type="dxa"/>
            <w:vAlign w:val="center"/>
          </w:tcPr>
          <w:p w14:paraId="1BF5F78E" w14:textId="77777777" w:rsidR="00853FE2" w:rsidRPr="002F4485" w:rsidRDefault="00853FE2" w:rsidP="00853FE2">
            <w:pPr>
              <w:rPr>
                <w:rFonts w:asciiTheme="minorHAnsi" w:hAnsiTheme="minorHAnsi" w:cstheme="minorHAnsi"/>
              </w:rPr>
            </w:pPr>
            <w:r w:rsidRPr="002F4485">
              <w:rPr>
                <w:rFonts w:asciiTheme="minorHAnsi" w:hAnsiTheme="minorHAnsi" w:cstheme="minorHAnsi"/>
              </w:rPr>
              <w:t>Toruńska od ulicy Parkowej do Placu Wolności (nr 2–24 i nr 1–3)</w:t>
            </w:r>
          </w:p>
          <w:p w14:paraId="4626B05E" w14:textId="77777777" w:rsidR="00853FE2" w:rsidRPr="002F4485" w:rsidRDefault="00853FE2" w:rsidP="00853FE2">
            <w:pPr>
              <w:rPr>
                <w:rFonts w:asciiTheme="minorHAnsi" w:hAnsiTheme="minorHAnsi" w:cstheme="minorHAnsi"/>
              </w:rPr>
            </w:pPr>
            <w:r w:rsidRPr="002F4485">
              <w:rPr>
                <w:rFonts w:asciiTheme="minorHAnsi" w:hAnsiTheme="minorHAnsi" w:cstheme="minorHAnsi"/>
              </w:rPr>
              <w:t>Parkowa część płd. (nr 1–3)</w:t>
            </w:r>
          </w:p>
          <w:p w14:paraId="5548DF50" w14:textId="77777777" w:rsidR="00853FE2" w:rsidRPr="002F4485" w:rsidRDefault="00853FE2" w:rsidP="00853FE2">
            <w:pPr>
              <w:rPr>
                <w:rFonts w:asciiTheme="minorHAnsi" w:hAnsiTheme="minorHAnsi" w:cstheme="minorHAnsi"/>
              </w:rPr>
            </w:pPr>
            <w:r w:rsidRPr="002F4485">
              <w:rPr>
                <w:rFonts w:asciiTheme="minorHAnsi" w:hAnsiTheme="minorHAnsi" w:cstheme="minorHAnsi"/>
              </w:rPr>
              <w:t>Kolejowa</w:t>
            </w:r>
          </w:p>
          <w:p w14:paraId="67ABDFBE" w14:textId="77777777" w:rsidR="00853FE2" w:rsidRPr="002F4485" w:rsidRDefault="00853FE2" w:rsidP="00853FE2">
            <w:pPr>
              <w:rPr>
                <w:rFonts w:asciiTheme="minorHAnsi" w:hAnsiTheme="minorHAnsi" w:cstheme="minorHAnsi"/>
              </w:rPr>
            </w:pPr>
            <w:r w:rsidRPr="002F4485">
              <w:rPr>
                <w:rFonts w:asciiTheme="minorHAnsi" w:hAnsiTheme="minorHAnsi" w:cstheme="minorHAnsi"/>
              </w:rPr>
              <w:t>Generała Tadeusza Kościuszki</w:t>
            </w:r>
          </w:p>
          <w:p w14:paraId="13E18128" w14:textId="47B37A81" w:rsidR="00853FE2" w:rsidRPr="002F4485" w:rsidRDefault="00853FE2" w:rsidP="00853FE2">
            <w:pPr>
              <w:rPr>
                <w:rFonts w:asciiTheme="minorHAnsi" w:hAnsiTheme="minorHAnsi" w:cstheme="minorHAnsi"/>
              </w:rPr>
            </w:pPr>
            <w:r w:rsidRPr="002F4485">
              <w:rPr>
                <w:rFonts w:asciiTheme="minorHAnsi" w:hAnsiTheme="minorHAnsi" w:cstheme="minorHAnsi"/>
              </w:rPr>
              <w:t>Zakątna</w:t>
            </w:r>
          </w:p>
        </w:tc>
        <w:tc>
          <w:tcPr>
            <w:tcW w:w="1842" w:type="dxa"/>
            <w:vAlign w:val="center"/>
          </w:tcPr>
          <w:p w14:paraId="4D249899" w14:textId="10CD504F" w:rsidR="00853FE2" w:rsidRPr="002F4485" w:rsidRDefault="00853FE2" w:rsidP="00853FE2">
            <w:pPr>
              <w:rPr>
                <w:rFonts w:asciiTheme="minorHAnsi" w:hAnsiTheme="minorHAnsi" w:cstheme="minorHAnsi"/>
              </w:rPr>
            </w:pPr>
            <w:r>
              <w:rPr>
                <w:rFonts w:cs="Calibri"/>
                <w:color w:val="000000"/>
              </w:rPr>
              <w:t>1508</w:t>
            </w:r>
          </w:p>
        </w:tc>
      </w:tr>
      <w:tr w:rsidR="00853FE2" w:rsidRPr="002F4485" w14:paraId="5700B336" w14:textId="77777777" w:rsidTr="00853FE2">
        <w:tc>
          <w:tcPr>
            <w:tcW w:w="562" w:type="dxa"/>
            <w:vAlign w:val="center"/>
          </w:tcPr>
          <w:p w14:paraId="44D04173" w14:textId="7C9EE120" w:rsidR="00853FE2" w:rsidRPr="002F4485" w:rsidRDefault="00853FE2" w:rsidP="00853FE2">
            <w:pPr>
              <w:rPr>
                <w:rFonts w:asciiTheme="minorHAnsi" w:hAnsiTheme="minorHAnsi" w:cstheme="minorHAnsi"/>
              </w:rPr>
            </w:pPr>
            <w:r w:rsidRPr="002F4485">
              <w:rPr>
                <w:rFonts w:asciiTheme="minorHAnsi" w:hAnsiTheme="minorHAnsi" w:cstheme="minorHAnsi"/>
              </w:rPr>
              <w:t xml:space="preserve"> 3.</w:t>
            </w:r>
          </w:p>
        </w:tc>
        <w:tc>
          <w:tcPr>
            <w:tcW w:w="2552" w:type="dxa"/>
            <w:vAlign w:val="center"/>
          </w:tcPr>
          <w:p w14:paraId="046BB099" w14:textId="02CE1946" w:rsidR="00853FE2" w:rsidRPr="002F4485" w:rsidRDefault="00853FE2" w:rsidP="00853FE2">
            <w:pPr>
              <w:rPr>
                <w:rFonts w:asciiTheme="minorHAnsi" w:hAnsiTheme="minorHAnsi" w:cstheme="minorHAnsi"/>
              </w:rPr>
            </w:pPr>
            <w:r w:rsidRPr="002F4485">
              <w:rPr>
                <w:rFonts w:asciiTheme="minorHAnsi" w:hAnsiTheme="minorHAnsi" w:cstheme="minorHAnsi"/>
              </w:rPr>
              <w:t>Osiedle nr 3 im. Gen. W. Andersa</w:t>
            </w:r>
          </w:p>
        </w:tc>
        <w:tc>
          <w:tcPr>
            <w:tcW w:w="4536" w:type="dxa"/>
            <w:vAlign w:val="center"/>
          </w:tcPr>
          <w:p w14:paraId="776C7C05"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Kolejowa – strona północna od ulicy Parkowej do granic miasta</w:t>
            </w:r>
          </w:p>
          <w:p w14:paraId="17DEC7E7"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Parkowa strona płn. (nr 2–20)</w:t>
            </w:r>
          </w:p>
          <w:p w14:paraId="58A7949A"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Błonie</w:t>
            </w:r>
          </w:p>
          <w:p w14:paraId="32628C90" w14:textId="2FFCADD0" w:rsidR="00853FE2" w:rsidRPr="002F4485" w:rsidRDefault="00853FE2" w:rsidP="00853FE2">
            <w:pPr>
              <w:rPr>
                <w:rFonts w:asciiTheme="minorHAnsi" w:hAnsiTheme="minorHAnsi" w:cstheme="minorHAnsi"/>
              </w:rPr>
            </w:pPr>
            <w:r w:rsidRPr="00A71F59">
              <w:rPr>
                <w:rFonts w:asciiTheme="minorHAnsi" w:hAnsiTheme="minorHAnsi" w:cstheme="minorHAnsi"/>
              </w:rPr>
              <w:t>Toruńska od ulicy Parkowej do granic miasta w kierunku północnym (nr 26–30 i nr 19 do nr 21)</w:t>
            </w:r>
          </w:p>
        </w:tc>
        <w:tc>
          <w:tcPr>
            <w:tcW w:w="1842" w:type="dxa"/>
            <w:vAlign w:val="center"/>
          </w:tcPr>
          <w:p w14:paraId="09B745E2" w14:textId="0CF41F91" w:rsidR="00853FE2" w:rsidRPr="002F4485" w:rsidRDefault="00853FE2" w:rsidP="00853FE2">
            <w:pPr>
              <w:rPr>
                <w:rFonts w:asciiTheme="minorHAnsi" w:hAnsiTheme="minorHAnsi" w:cstheme="minorHAnsi"/>
              </w:rPr>
            </w:pPr>
            <w:r>
              <w:rPr>
                <w:rFonts w:cs="Calibri"/>
                <w:color w:val="000000"/>
              </w:rPr>
              <w:t>310</w:t>
            </w:r>
          </w:p>
        </w:tc>
      </w:tr>
      <w:tr w:rsidR="00853FE2" w:rsidRPr="002F4485" w14:paraId="3DA2ECFE" w14:textId="77777777" w:rsidTr="00853FE2">
        <w:tc>
          <w:tcPr>
            <w:tcW w:w="562" w:type="dxa"/>
            <w:vAlign w:val="center"/>
          </w:tcPr>
          <w:p w14:paraId="50E7FCBA" w14:textId="19059A50" w:rsidR="00853FE2" w:rsidRPr="002F4485" w:rsidRDefault="00853FE2" w:rsidP="00853FE2">
            <w:pPr>
              <w:rPr>
                <w:rFonts w:asciiTheme="minorHAnsi" w:hAnsiTheme="minorHAnsi" w:cstheme="minorHAnsi"/>
              </w:rPr>
            </w:pPr>
            <w:r w:rsidRPr="002F4485">
              <w:rPr>
                <w:rFonts w:asciiTheme="minorHAnsi" w:hAnsiTheme="minorHAnsi" w:cstheme="minorHAnsi"/>
              </w:rPr>
              <w:t xml:space="preserve"> 4.</w:t>
            </w:r>
          </w:p>
        </w:tc>
        <w:tc>
          <w:tcPr>
            <w:tcW w:w="2552" w:type="dxa"/>
            <w:vAlign w:val="center"/>
          </w:tcPr>
          <w:p w14:paraId="6ED74ACD" w14:textId="3E0A883B" w:rsidR="00853FE2" w:rsidRPr="002F4485" w:rsidRDefault="00853FE2" w:rsidP="00853FE2">
            <w:pPr>
              <w:rPr>
                <w:rFonts w:asciiTheme="minorHAnsi" w:hAnsiTheme="minorHAnsi" w:cstheme="minorHAnsi"/>
              </w:rPr>
            </w:pPr>
            <w:r w:rsidRPr="002F4485">
              <w:rPr>
                <w:rFonts w:asciiTheme="minorHAnsi" w:hAnsiTheme="minorHAnsi" w:cstheme="minorHAnsi"/>
              </w:rPr>
              <w:t xml:space="preserve">Osiedle nr </w:t>
            </w:r>
            <w:r>
              <w:rPr>
                <w:rFonts w:asciiTheme="minorHAnsi" w:hAnsiTheme="minorHAnsi" w:cstheme="minorHAnsi"/>
              </w:rPr>
              <w:t>4</w:t>
            </w:r>
          </w:p>
        </w:tc>
        <w:tc>
          <w:tcPr>
            <w:tcW w:w="4536" w:type="dxa"/>
            <w:vAlign w:val="center"/>
          </w:tcPr>
          <w:p w14:paraId="70795904"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Poznańska – południowa strona i od ul. Generała Władysława Sikorskiego do granic miasta (nr 2–28 i 34–36)</w:t>
            </w:r>
          </w:p>
          <w:p w14:paraId="7A58EB5B"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Generała Władysława Sikorskiego</w:t>
            </w:r>
          </w:p>
          <w:p w14:paraId="4049FA78"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Zachodnia</w:t>
            </w:r>
          </w:p>
          <w:p w14:paraId="711AA389"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Marii Konopnickiej</w:t>
            </w:r>
          </w:p>
          <w:p w14:paraId="2600A5B9"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Juliusza Słowackiego</w:t>
            </w:r>
          </w:p>
          <w:p w14:paraId="01E273DE"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Mazowiecka</w:t>
            </w:r>
          </w:p>
          <w:p w14:paraId="74439B09" w14:textId="77777777" w:rsidR="00853FE2" w:rsidRDefault="00853FE2" w:rsidP="00853FE2">
            <w:pPr>
              <w:rPr>
                <w:rFonts w:asciiTheme="minorHAnsi" w:hAnsiTheme="minorHAnsi" w:cstheme="minorHAnsi"/>
              </w:rPr>
            </w:pPr>
            <w:r w:rsidRPr="00A71F59">
              <w:rPr>
                <w:rFonts w:asciiTheme="minorHAnsi" w:hAnsiTheme="minorHAnsi" w:cstheme="minorHAnsi"/>
              </w:rPr>
              <w:t>Targowa – jej północna strona od ul. 3 Maja do ulicy Ogrodowej i dalej do granic miasta od nr 10, 13, 15, 17, 19, 19a, 21, 23, 25, 25A, 27, 29, 29A i od nr 16–34</w:t>
            </w:r>
          </w:p>
          <w:p w14:paraId="545D9581" w14:textId="29247056" w:rsidR="00853FE2" w:rsidRPr="002F4485" w:rsidRDefault="00853FE2" w:rsidP="00853FE2">
            <w:pPr>
              <w:rPr>
                <w:rFonts w:asciiTheme="minorHAnsi" w:hAnsiTheme="minorHAnsi" w:cstheme="minorHAnsi"/>
              </w:rPr>
            </w:pPr>
            <w:r>
              <w:rPr>
                <w:rFonts w:asciiTheme="minorHAnsi" w:hAnsiTheme="minorHAnsi" w:cstheme="minorHAnsi"/>
              </w:rPr>
              <w:t xml:space="preserve">Ogrodowa str. zach.  </w:t>
            </w:r>
          </w:p>
        </w:tc>
        <w:tc>
          <w:tcPr>
            <w:tcW w:w="1842" w:type="dxa"/>
            <w:vAlign w:val="center"/>
          </w:tcPr>
          <w:p w14:paraId="253D5998" w14:textId="1A2A5A56" w:rsidR="00853FE2" w:rsidRPr="002F4485" w:rsidRDefault="00853FE2" w:rsidP="00853FE2">
            <w:pPr>
              <w:rPr>
                <w:rFonts w:asciiTheme="minorHAnsi" w:hAnsiTheme="minorHAnsi" w:cstheme="minorHAnsi"/>
              </w:rPr>
            </w:pPr>
            <w:r>
              <w:rPr>
                <w:rFonts w:cs="Calibri"/>
                <w:color w:val="000000"/>
              </w:rPr>
              <w:t>198</w:t>
            </w:r>
          </w:p>
        </w:tc>
      </w:tr>
      <w:tr w:rsidR="00853FE2" w:rsidRPr="002F4485" w14:paraId="6EC92536" w14:textId="77777777" w:rsidTr="00853FE2">
        <w:tc>
          <w:tcPr>
            <w:tcW w:w="562" w:type="dxa"/>
            <w:vAlign w:val="center"/>
          </w:tcPr>
          <w:p w14:paraId="2E6A9EC5" w14:textId="4EBB327D" w:rsidR="00853FE2" w:rsidRPr="002F4485" w:rsidRDefault="00853FE2" w:rsidP="00853FE2">
            <w:pPr>
              <w:rPr>
                <w:rFonts w:asciiTheme="minorHAnsi" w:hAnsiTheme="minorHAnsi" w:cstheme="minorHAnsi"/>
              </w:rPr>
            </w:pPr>
            <w:r w:rsidRPr="002F4485">
              <w:rPr>
                <w:rFonts w:asciiTheme="minorHAnsi" w:hAnsiTheme="minorHAnsi" w:cstheme="minorHAnsi"/>
              </w:rPr>
              <w:t xml:space="preserve"> 5.</w:t>
            </w:r>
          </w:p>
        </w:tc>
        <w:tc>
          <w:tcPr>
            <w:tcW w:w="2552" w:type="dxa"/>
            <w:vAlign w:val="center"/>
          </w:tcPr>
          <w:p w14:paraId="4B59C4E1" w14:textId="08620036" w:rsidR="00853FE2" w:rsidRPr="002F4485" w:rsidRDefault="00853FE2" w:rsidP="00853FE2">
            <w:pPr>
              <w:rPr>
                <w:rFonts w:asciiTheme="minorHAnsi" w:hAnsiTheme="minorHAnsi" w:cstheme="minorHAnsi"/>
              </w:rPr>
            </w:pPr>
            <w:r w:rsidRPr="002F4485">
              <w:rPr>
                <w:rFonts w:asciiTheme="minorHAnsi" w:hAnsiTheme="minorHAnsi" w:cstheme="minorHAnsi"/>
              </w:rPr>
              <w:t xml:space="preserve">Osiedle nr </w:t>
            </w:r>
            <w:r>
              <w:rPr>
                <w:rFonts w:asciiTheme="minorHAnsi" w:hAnsiTheme="minorHAnsi" w:cstheme="minorHAnsi"/>
              </w:rPr>
              <w:t>5</w:t>
            </w:r>
          </w:p>
        </w:tc>
        <w:tc>
          <w:tcPr>
            <w:tcW w:w="4536" w:type="dxa"/>
            <w:vAlign w:val="center"/>
          </w:tcPr>
          <w:p w14:paraId="0B38EFB7"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Ignacego Paderewskiego</w:t>
            </w:r>
          </w:p>
          <w:p w14:paraId="2250F787"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Lipowa</w:t>
            </w:r>
          </w:p>
          <w:p w14:paraId="1734CACA"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Kasztanowa</w:t>
            </w:r>
          </w:p>
          <w:p w14:paraId="5F546B91"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Dębowa</w:t>
            </w:r>
          </w:p>
          <w:p w14:paraId="44AF7EC1"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Bolesława Prusa</w:t>
            </w:r>
          </w:p>
          <w:p w14:paraId="1B9E8D3B"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Wiosenna</w:t>
            </w:r>
          </w:p>
          <w:p w14:paraId="2C9CBF1E"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Południowa</w:t>
            </w:r>
          </w:p>
          <w:p w14:paraId="145C9B99"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Moniuszki</w:t>
            </w:r>
          </w:p>
          <w:p w14:paraId="3FC9EAD0"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Łąkowa</w:t>
            </w:r>
          </w:p>
          <w:p w14:paraId="40420A2D"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Zielona</w:t>
            </w:r>
          </w:p>
          <w:p w14:paraId="408D274E"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Wspólna</w:t>
            </w:r>
          </w:p>
          <w:p w14:paraId="0229B5B4"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Księdza Jerzego Popiełuszki</w:t>
            </w:r>
          </w:p>
          <w:p w14:paraId="152C701E"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Władysława Broniewskiego</w:t>
            </w:r>
          </w:p>
          <w:p w14:paraId="64D5EB71"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Cypriana Kamila Norwida</w:t>
            </w:r>
          </w:p>
          <w:p w14:paraId="7DB635E6"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Cicha</w:t>
            </w:r>
          </w:p>
          <w:p w14:paraId="523EAF51"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Adama Mickiewicza</w:t>
            </w:r>
          </w:p>
          <w:p w14:paraId="49D88C85"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lastRenderedPageBreak/>
              <w:t>Generała Józefa Bema</w:t>
            </w:r>
          </w:p>
          <w:p w14:paraId="139398D8"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Wąska</w:t>
            </w:r>
          </w:p>
          <w:p w14:paraId="205B57BC"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Krótka</w:t>
            </w:r>
          </w:p>
          <w:p w14:paraId="6B4182CA"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Przemysłowa</w:t>
            </w:r>
          </w:p>
          <w:p w14:paraId="4B4361C3"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Łęczycka od ul. Generała Józefa Bema do rzeki i jej strona wschodnia i dalej do granic miasta (nr 2–36 i 38BL1 i 38BL2)</w:t>
            </w:r>
          </w:p>
          <w:p w14:paraId="730A62B5"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Boczna</w:t>
            </w:r>
          </w:p>
          <w:p w14:paraId="43D66F3D" w14:textId="7079B708" w:rsidR="00853FE2" w:rsidRDefault="00853FE2" w:rsidP="00853FE2">
            <w:pPr>
              <w:rPr>
                <w:rFonts w:asciiTheme="minorHAnsi" w:hAnsiTheme="minorHAnsi" w:cstheme="minorHAnsi"/>
              </w:rPr>
            </w:pPr>
            <w:r w:rsidRPr="00A71F59">
              <w:rPr>
                <w:rFonts w:asciiTheme="minorHAnsi" w:hAnsiTheme="minorHAnsi" w:cstheme="minorHAnsi"/>
              </w:rPr>
              <w:t>Brzozowa</w:t>
            </w:r>
          </w:p>
          <w:p w14:paraId="26D11D1F" w14:textId="791F60ED" w:rsidR="00853FE2" w:rsidRDefault="00853FE2" w:rsidP="00853FE2">
            <w:pPr>
              <w:rPr>
                <w:rFonts w:asciiTheme="minorHAnsi" w:hAnsiTheme="minorHAnsi" w:cstheme="minorHAnsi"/>
              </w:rPr>
            </w:pPr>
            <w:r>
              <w:rPr>
                <w:rFonts w:asciiTheme="minorHAnsi" w:hAnsiTheme="minorHAnsi" w:cstheme="minorHAnsi"/>
              </w:rPr>
              <w:t xml:space="preserve">Wrzosowa </w:t>
            </w:r>
          </w:p>
          <w:p w14:paraId="4DE2D95C" w14:textId="120C3379" w:rsidR="00853FE2" w:rsidRPr="002F4485" w:rsidRDefault="00853FE2" w:rsidP="00853FE2">
            <w:pPr>
              <w:rPr>
                <w:rFonts w:asciiTheme="minorHAnsi" w:hAnsiTheme="minorHAnsi" w:cstheme="minorHAnsi"/>
              </w:rPr>
            </w:pPr>
            <w:r>
              <w:rPr>
                <w:rFonts w:asciiTheme="minorHAnsi" w:hAnsiTheme="minorHAnsi" w:cstheme="minorHAnsi"/>
              </w:rPr>
              <w:t>Długa</w:t>
            </w:r>
          </w:p>
        </w:tc>
        <w:tc>
          <w:tcPr>
            <w:tcW w:w="1842" w:type="dxa"/>
            <w:vAlign w:val="center"/>
          </w:tcPr>
          <w:p w14:paraId="12B96E4C" w14:textId="34C6B3E3" w:rsidR="00853FE2" w:rsidRPr="002F4485" w:rsidRDefault="00853FE2" w:rsidP="00853FE2">
            <w:pPr>
              <w:rPr>
                <w:rFonts w:asciiTheme="minorHAnsi" w:hAnsiTheme="minorHAnsi" w:cstheme="minorHAnsi"/>
              </w:rPr>
            </w:pPr>
            <w:r>
              <w:rPr>
                <w:rFonts w:cs="Calibri"/>
                <w:color w:val="000000"/>
              </w:rPr>
              <w:lastRenderedPageBreak/>
              <w:t>908</w:t>
            </w:r>
          </w:p>
        </w:tc>
      </w:tr>
      <w:tr w:rsidR="00853FE2" w:rsidRPr="002F4485" w14:paraId="1FAA02E0" w14:textId="77777777" w:rsidTr="00853FE2">
        <w:tc>
          <w:tcPr>
            <w:tcW w:w="562" w:type="dxa"/>
            <w:vAlign w:val="center"/>
          </w:tcPr>
          <w:p w14:paraId="6EBD7832" w14:textId="7A7A75EF" w:rsidR="00853FE2" w:rsidRPr="002F4485" w:rsidRDefault="00853FE2" w:rsidP="00853FE2">
            <w:pPr>
              <w:rPr>
                <w:rFonts w:asciiTheme="minorHAnsi" w:hAnsiTheme="minorHAnsi" w:cstheme="minorHAnsi"/>
              </w:rPr>
            </w:pPr>
            <w:r w:rsidRPr="002F4485">
              <w:rPr>
                <w:rFonts w:asciiTheme="minorHAnsi" w:hAnsiTheme="minorHAnsi" w:cstheme="minorHAnsi"/>
              </w:rPr>
              <w:t xml:space="preserve"> 6.</w:t>
            </w:r>
          </w:p>
        </w:tc>
        <w:tc>
          <w:tcPr>
            <w:tcW w:w="2552" w:type="dxa"/>
            <w:vAlign w:val="center"/>
          </w:tcPr>
          <w:p w14:paraId="564BC089" w14:textId="77DD1BF0" w:rsidR="00853FE2" w:rsidRPr="002F4485" w:rsidRDefault="00853FE2" w:rsidP="00853FE2">
            <w:pPr>
              <w:rPr>
                <w:rFonts w:asciiTheme="minorHAnsi" w:hAnsiTheme="minorHAnsi" w:cstheme="minorHAnsi"/>
              </w:rPr>
            </w:pPr>
            <w:r w:rsidRPr="002F4485">
              <w:rPr>
                <w:rFonts w:asciiTheme="minorHAnsi" w:hAnsiTheme="minorHAnsi" w:cstheme="minorHAnsi"/>
              </w:rPr>
              <w:t xml:space="preserve">Osiedle nr </w:t>
            </w:r>
            <w:r>
              <w:rPr>
                <w:rFonts w:asciiTheme="minorHAnsi" w:hAnsiTheme="minorHAnsi" w:cstheme="minorHAnsi"/>
              </w:rPr>
              <w:t>6</w:t>
            </w:r>
          </w:p>
        </w:tc>
        <w:tc>
          <w:tcPr>
            <w:tcW w:w="4536" w:type="dxa"/>
            <w:vAlign w:val="center"/>
          </w:tcPr>
          <w:p w14:paraId="2F50A266"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Kwiatowa</w:t>
            </w:r>
          </w:p>
          <w:p w14:paraId="4372F3C1"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Klonowa</w:t>
            </w:r>
          </w:p>
          <w:p w14:paraId="2BFDFEA4"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Jaśminowa</w:t>
            </w:r>
          </w:p>
          <w:p w14:paraId="4A1EB703"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Polna</w:t>
            </w:r>
          </w:p>
          <w:p w14:paraId="175FDB57"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Łęczycka od ul. Generała Józefa Bema do rzeki – jej strona zachodnia (nr 3–23A)</w:t>
            </w:r>
          </w:p>
          <w:p w14:paraId="536E45A3" w14:textId="77777777" w:rsidR="00853FE2" w:rsidRPr="00A71F59" w:rsidRDefault="00853FE2" w:rsidP="00853FE2">
            <w:pPr>
              <w:rPr>
                <w:rFonts w:asciiTheme="minorHAnsi" w:hAnsiTheme="minorHAnsi" w:cstheme="minorHAnsi"/>
              </w:rPr>
            </w:pPr>
            <w:r w:rsidRPr="00A71F59">
              <w:rPr>
                <w:rFonts w:asciiTheme="minorHAnsi" w:hAnsiTheme="minorHAnsi" w:cstheme="minorHAnsi"/>
              </w:rPr>
              <w:t>Ogrodowa – strona wschodnia</w:t>
            </w:r>
          </w:p>
          <w:p w14:paraId="1DC2181D" w14:textId="48725E6C" w:rsidR="00853FE2" w:rsidRDefault="00853FE2" w:rsidP="00853FE2">
            <w:pPr>
              <w:rPr>
                <w:rFonts w:asciiTheme="minorHAnsi" w:hAnsiTheme="minorHAnsi" w:cstheme="minorHAnsi"/>
              </w:rPr>
            </w:pPr>
            <w:r w:rsidRPr="00A71F59">
              <w:rPr>
                <w:rFonts w:asciiTheme="minorHAnsi" w:hAnsiTheme="minorHAnsi" w:cstheme="minorHAnsi"/>
              </w:rPr>
              <w:t>Targowa – strona południowa od ulicy Łęczyckiej do ulicy Ogrodowej (od nr 2 do nr 14)</w:t>
            </w:r>
          </w:p>
          <w:p w14:paraId="759D0D6A" w14:textId="2A1C6100" w:rsidR="00853FE2" w:rsidRDefault="00853FE2" w:rsidP="00853FE2">
            <w:pPr>
              <w:rPr>
                <w:rFonts w:asciiTheme="minorHAnsi" w:hAnsiTheme="minorHAnsi" w:cstheme="minorHAnsi"/>
              </w:rPr>
            </w:pPr>
            <w:r>
              <w:rPr>
                <w:rFonts w:asciiTheme="minorHAnsi" w:hAnsiTheme="minorHAnsi" w:cstheme="minorHAnsi"/>
              </w:rPr>
              <w:t xml:space="preserve">Leśna </w:t>
            </w:r>
          </w:p>
          <w:p w14:paraId="1C2DF703" w14:textId="77777777" w:rsidR="00853FE2" w:rsidRDefault="00853FE2" w:rsidP="00853FE2">
            <w:pPr>
              <w:rPr>
                <w:rFonts w:asciiTheme="minorHAnsi" w:hAnsiTheme="minorHAnsi" w:cstheme="minorHAnsi"/>
              </w:rPr>
            </w:pPr>
            <w:r>
              <w:rPr>
                <w:rFonts w:asciiTheme="minorHAnsi" w:hAnsiTheme="minorHAnsi" w:cstheme="minorHAnsi"/>
              </w:rPr>
              <w:t>Malinowa</w:t>
            </w:r>
          </w:p>
          <w:p w14:paraId="33262D26" w14:textId="363854DD" w:rsidR="00853FE2" w:rsidRPr="002F4485" w:rsidRDefault="00853FE2" w:rsidP="00853FE2">
            <w:pPr>
              <w:rPr>
                <w:rFonts w:asciiTheme="minorHAnsi" w:hAnsiTheme="minorHAnsi" w:cstheme="minorHAnsi"/>
              </w:rPr>
            </w:pPr>
            <w:r>
              <w:rPr>
                <w:rFonts w:asciiTheme="minorHAnsi" w:hAnsiTheme="minorHAnsi" w:cstheme="minorHAnsi"/>
              </w:rPr>
              <w:t xml:space="preserve">Różana </w:t>
            </w:r>
          </w:p>
        </w:tc>
        <w:tc>
          <w:tcPr>
            <w:tcW w:w="1842" w:type="dxa"/>
            <w:vAlign w:val="center"/>
          </w:tcPr>
          <w:p w14:paraId="5A9EDB6D" w14:textId="1FE08BA3" w:rsidR="00853FE2" w:rsidRPr="002F4485" w:rsidRDefault="00853FE2" w:rsidP="00853FE2">
            <w:pPr>
              <w:rPr>
                <w:rFonts w:asciiTheme="minorHAnsi" w:hAnsiTheme="minorHAnsi" w:cstheme="minorHAnsi"/>
              </w:rPr>
            </w:pPr>
            <w:r>
              <w:rPr>
                <w:rFonts w:cs="Calibri"/>
                <w:color w:val="000000"/>
              </w:rPr>
              <w:t>313</w:t>
            </w:r>
          </w:p>
        </w:tc>
      </w:tr>
      <w:tr w:rsidR="00853FE2" w:rsidRPr="002F4485" w14:paraId="791EA048" w14:textId="77777777" w:rsidTr="00853FE2">
        <w:tc>
          <w:tcPr>
            <w:tcW w:w="562" w:type="dxa"/>
            <w:vAlign w:val="center"/>
          </w:tcPr>
          <w:p w14:paraId="2BCE9C01" w14:textId="64D09493" w:rsidR="00853FE2" w:rsidRPr="002F4485" w:rsidRDefault="00853FE2" w:rsidP="00853FE2">
            <w:pPr>
              <w:rPr>
                <w:rFonts w:asciiTheme="minorHAnsi" w:hAnsiTheme="minorHAnsi" w:cstheme="minorHAnsi"/>
              </w:rPr>
            </w:pPr>
            <w:r>
              <w:rPr>
                <w:rFonts w:asciiTheme="minorHAnsi" w:hAnsiTheme="minorHAnsi" w:cstheme="minorHAnsi"/>
              </w:rPr>
              <w:t>7.</w:t>
            </w:r>
          </w:p>
        </w:tc>
        <w:tc>
          <w:tcPr>
            <w:tcW w:w="2552" w:type="dxa"/>
            <w:vAlign w:val="center"/>
          </w:tcPr>
          <w:p w14:paraId="3043A336" w14:textId="3FC565FB" w:rsidR="00853FE2" w:rsidRPr="002F4485" w:rsidRDefault="00853FE2" w:rsidP="00853FE2">
            <w:pPr>
              <w:rPr>
                <w:rFonts w:asciiTheme="minorHAnsi" w:hAnsiTheme="minorHAnsi" w:cstheme="minorHAnsi"/>
              </w:rPr>
            </w:pPr>
            <w:r>
              <w:rPr>
                <w:rFonts w:cs="Calibri"/>
                <w:color w:val="000000"/>
              </w:rPr>
              <w:t>Sołectwo Bielice</w:t>
            </w:r>
          </w:p>
        </w:tc>
        <w:tc>
          <w:tcPr>
            <w:tcW w:w="4536" w:type="dxa"/>
            <w:vAlign w:val="center"/>
          </w:tcPr>
          <w:p w14:paraId="449CD9FE" w14:textId="51166BDA" w:rsidR="00853FE2" w:rsidRPr="00F87D93" w:rsidRDefault="00853FE2" w:rsidP="00853FE2">
            <w:pPr>
              <w:rPr>
                <w:rFonts w:asciiTheme="minorHAnsi" w:hAnsiTheme="minorHAnsi" w:cstheme="minorHAnsi"/>
              </w:rPr>
            </w:pPr>
            <w:r w:rsidRPr="00F87D93">
              <w:rPr>
                <w:rFonts w:asciiTheme="minorHAnsi" w:hAnsiTheme="minorHAnsi" w:cstheme="minorHAnsi"/>
              </w:rPr>
              <w:t>Bielice</w:t>
            </w:r>
          </w:p>
          <w:p w14:paraId="5063CFF8" w14:textId="4A7B2D18" w:rsidR="00853FE2" w:rsidRPr="00F87D93" w:rsidRDefault="00853FE2" w:rsidP="00853FE2">
            <w:pPr>
              <w:rPr>
                <w:rFonts w:asciiTheme="minorHAnsi" w:hAnsiTheme="minorHAnsi" w:cstheme="minorHAnsi"/>
              </w:rPr>
            </w:pPr>
            <w:r w:rsidRPr="00F87D93">
              <w:rPr>
                <w:rFonts w:asciiTheme="minorHAnsi" w:hAnsiTheme="minorHAnsi" w:cstheme="minorHAnsi"/>
              </w:rPr>
              <w:t>Stara Wieś</w:t>
            </w:r>
          </w:p>
          <w:p w14:paraId="2DD92815" w14:textId="5FE873C2" w:rsidR="00853FE2" w:rsidRPr="00A71F59" w:rsidRDefault="00853FE2" w:rsidP="00853FE2">
            <w:pPr>
              <w:rPr>
                <w:rFonts w:asciiTheme="minorHAnsi" w:hAnsiTheme="minorHAnsi" w:cstheme="minorHAnsi"/>
              </w:rPr>
            </w:pPr>
            <w:r w:rsidRPr="00F87D93">
              <w:rPr>
                <w:rFonts w:asciiTheme="minorHAnsi" w:hAnsiTheme="minorHAnsi" w:cstheme="minorHAnsi"/>
              </w:rPr>
              <w:t>Raszynek</w:t>
            </w:r>
          </w:p>
        </w:tc>
        <w:tc>
          <w:tcPr>
            <w:tcW w:w="1842" w:type="dxa"/>
            <w:vAlign w:val="center"/>
          </w:tcPr>
          <w:p w14:paraId="7EE382D2" w14:textId="0459C0E3" w:rsidR="00853FE2" w:rsidRPr="002F4485" w:rsidRDefault="00853FE2" w:rsidP="00853FE2">
            <w:pPr>
              <w:rPr>
                <w:rFonts w:asciiTheme="minorHAnsi" w:hAnsiTheme="minorHAnsi" w:cstheme="minorHAnsi"/>
              </w:rPr>
            </w:pPr>
            <w:r>
              <w:rPr>
                <w:rFonts w:cs="Calibri"/>
                <w:color w:val="000000"/>
              </w:rPr>
              <w:t>170</w:t>
            </w:r>
          </w:p>
        </w:tc>
      </w:tr>
      <w:tr w:rsidR="00853FE2" w:rsidRPr="002F4485" w14:paraId="23BA8998" w14:textId="77777777" w:rsidTr="00853FE2">
        <w:tc>
          <w:tcPr>
            <w:tcW w:w="562" w:type="dxa"/>
            <w:vAlign w:val="center"/>
          </w:tcPr>
          <w:p w14:paraId="26F7DCE0" w14:textId="364400C8" w:rsidR="00853FE2" w:rsidRPr="002F4485" w:rsidRDefault="00853FE2" w:rsidP="00853FE2">
            <w:pPr>
              <w:rPr>
                <w:rFonts w:asciiTheme="minorHAnsi" w:hAnsiTheme="minorHAnsi" w:cstheme="minorHAnsi"/>
              </w:rPr>
            </w:pPr>
            <w:r>
              <w:rPr>
                <w:rFonts w:asciiTheme="minorHAnsi" w:hAnsiTheme="minorHAnsi" w:cstheme="minorHAnsi"/>
              </w:rPr>
              <w:t>8.</w:t>
            </w:r>
          </w:p>
        </w:tc>
        <w:tc>
          <w:tcPr>
            <w:tcW w:w="2552" w:type="dxa"/>
            <w:vAlign w:val="center"/>
          </w:tcPr>
          <w:p w14:paraId="0DE13473" w14:textId="12E61871" w:rsidR="00853FE2" w:rsidRPr="002F4485" w:rsidRDefault="00853FE2" w:rsidP="00853FE2">
            <w:pPr>
              <w:rPr>
                <w:rFonts w:asciiTheme="minorHAnsi" w:hAnsiTheme="minorHAnsi" w:cstheme="minorHAnsi"/>
              </w:rPr>
            </w:pPr>
            <w:r>
              <w:rPr>
                <w:rFonts w:cs="Calibri"/>
                <w:color w:val="000000"/>
              </w:rPr>
              <w:t>Sołectwo Franki</w:t>
            </w:r>
          </w:p>
        </w:tc>
        <w:tc>
          <w:tcPr>
            <w:tcW w:w="4536" w:type="dxa"/>
            <w:vAlign w:val="center"/>
          </w:tcPr>
          <w:p w14:paraId="13A5E6AA" w14:textId="6996FE2A" w:rsidR="00853FE2" w:rsidRPr="00A71F59" w:rsidRDefault="00853FE2" w:rsidP="00853FE2">
            <w:pPr>
              <w:rPr>
                <w:rFonts w:asciiTheme="minorHAnsi" w:hAnsiTheme="minorHAnsi" w:cstheme="minorHAnsi"/>
              </w:rPr>
            </w:pPr>
            <w:r w:rsidRPr="00F87D93">
              <w:rPr>
                <w:rFonts w:asciiTheme="minorHAnsi" w:hAnsiTheme="minorHAnsi" w:cstheme="minorHAnsi"/>
              </w:rPr>
              <w:t>Franki</w:t>
            </w:r>
          </w:p>
        </w:tc>
        <w:tc>
          <w:tcPr>
            <w:tcW w:w="1842" w:type="dxa"/>
            <w:vAlign w:val="center"/>
          </w:tcPr>
          <w:p w14:paraId="5E8EB4CA" w14:textId="024981AF" w:rsidR="00853FE2" w:rsidRPr="002F4485" w:rsidRDefault="00853FE2" w:rsidP="00853FE2">
            <w:pPr>
              <w:rPr>
                <w:rFonts w:asciiTheme="minorHAnsi" w:hAnsiTheme="minorHAnsi" w:cstheme="minorHAnsi"/>
              </w:rPr>
            </w:pPr>
            <w:r>
              <w:rPr>
                <w:rFonts w:cs="Calibri"/>
                <w:color w:val="000000"/>
              </w:rPr>
              <w:t>30</w:t>
            </w:r>
          </w:p>
        </w:tc>
      </w:tr>
      <w:tr w:rsidR="00853FE2" w:rsidRPr="002F4485" w14:paraId="1D1783D3" w14:textId="77777777" w:rsidTr="00853FE2">
        <w:tc>
          <w:tcPr>
            <w:tcW w:w="562" w:type="dxa"/>
            <w:vAlign w:val="center"/>
          </w:tcPr>
          <w:p w14:paraId="463D4863" w14:textId="2260F947" w:rsidR="00853FE2" w:rsidRPr="002F4485" w:rsidRDefault="00853FE2" w:rsidP="00853FE2">
            <w:pPr>
              <w:rPr>
                <w:rFonts w:asciiTheme="minorHAnsi" w:hAnsiTheme="minorHAnsi" w:cstheme="minorHAnsi"/>
              </w:rPr>
            </w:pPr>
            <w:r>
              <w:rPr>
                <w:rFonts w:asciiTheme="minorHAnsi" w:hAnsiTheme="minorHAnsi" w:cstheme="minorHAnsi"/>
              </w:rPr>
              <w:t>9.</w:t>
            </w:r>
          </w:p>
        </w:tc>
        <w:tc>
          <w:tcPr>
            <w:tcW w:w="2552" w:type="dxa"/>
            <w:vAlign w:val="center"/>
          </w:tcPr>
          <w:p w14:paraId="380ED256" w14:textId="20445AC1" w:rsidR="00853FE2" w:rsidRPr="002F4485" w:rsidRDefault="00853FE2" w:rsidP="00853FE2">
            <w:pPr>
              <w:rPr>
                <w:rFonts w:asciiTheme="minorHAnsi" w:hAnsiTheme="minorHAnsi" w:cstheme="minorHAnsi"/>
              </w:rPr>
            </w:pPr>
            <w:r>
              <w:rPr>
                <w:rFonts w:cs="Calibri"/>
                <w:color w:val="000000"/>
              </w:rPr>
              <w:t>Sołectwo Jankowice</w:t>
            </w:r>
          </w:p>
        </w:tc>
        <w:tc>
          <w:tcPr>
            <w:tcW w:w="4536" w:type="dxa"/>
            <w:vAlign w:val="center"/>
          </w:tcPr>
          <w:p w14:paraId="66FCD8A4" w14:textId="2FACC0AE" w:rsidR="00853FE2" w:rsidRPr="00F87D93" w:rsidRDefault="00853FE2" w:rsidP="00853FE2">
            <w:pPr>
              <w:rPr>
                <w:rFonts w:asciiTheme="minorHAnsi" w:hAnsiTheme="minorHAnsi" w:cstheme="minorHAnsi"/>
              </w:rPr>
            </w:pPr>
            <w:r w:rsidRPr="00F87D93">
              <w:rPr>
                <w:rFonts w:asciiTheme="minorHAnsi" w:hAnsiTheme="minorHAnsi" w:cstheme="minorHAnsi"/>
              </w:rPr>
              <w:t>Jankowice</w:t>
            </w:r>
          </w:p>
          <w:p w14:paraId="0D0FEB0A" w14:textId="771CE4E4" w:rsidR="00853FE2" w:rsidRPr="00F87D93" w:rsidRDefault="00853FE2" w:rsidP="00853FE2">
            <w:pPr>
              <w:rPr>
                <w:rFonts w:asciiTheme="minorHAnsi" w:hAnsiTheme="minorHAnsi" w:cstheme="minorHAnsi"/>
              </w:rPr>
            </w:pPr>
            <w:r w:rsidRPr="00F87D93">
              <w:rPr>
                <w:rFonts w:asciiTheme="minorHAnsi" w:hAnsiTheme="minorHAnsi" w:cstheme="minorHAnsi"/>
              </w:rPr>
              <w:t>Cudniki</w:t>
            </w:r>
          </w:p>
          <w:p w14:paraId="2BA7F4F3" w14:textId="72D7992A" w:rsidR="00853FE2" w:rsidRPr="00A71F59" w:rsidRDefault="00853FE2" w:rsidP="00853FE2">
            <w:pPr>
              <w:rPr>
                <w:rFonts w:asciiTheme="minorHAnsi" w:hAnsiTheme="minorHAnsi" w:cstheme="minorHAnsi"/>
              </w:rPr>
            </w:pPr>
            <w:r w:rsidRPr="00F87D93">
              <w:rPr>
                <w:rFonts w:asciiTheme="minorHAnsi" w:hAnsiTheme="minorHAnsi" w:cstheme="minorHAnsi"/>
              </w:rPr>
              <w:t>Głogowa</w:t>
            </w:r>
          </w:p>
        </w:tc>
        <w:tc>
          <w:tcPr>
            <w:tcW w:w="1842" w:type="dxa"/>
            <w:vAlign w:val="center"/>
          </w:tcPr>
          <w:p w14:paraId="656CE198" w14:textId="5900D969" w:rsidR="00853FE2" w:rsidRPr="002F4485" w:rsidRDefault="00853FE2" w:rsidP="00853FE2">
            <w:pPr>
              <w:rPr>
                <w:rFonts w:asciiTheme="minorHAnsi" w:hAnsiTheme="minorHAnsi" w:cstheme="minorHAnsi"/>
              </w:rPr>
            </w:pPr>
            <w:r>
              <w:rPr>
                <w:rFonts w:cs="Calibri"/>
                <w:color w:val="000000"/>
              </w:rPr>
              <w:t>345</w:t>
            </w:r>
          </w:p>
        </w:tc>
      </w:tr>
      <w:tr w:rsidR="00853FE2" w:rsidRPr="002F4485" w14:paraId="3B96D134" w14:textId="77777777" w:rsidTr="00853FE2">
        <w:tc>
          <w:tcPr>
            <w:tcW w:w="562" w:type="dxa"/>
            <w:vAlign w:val="center"/>
          </w:tcPr>
          <w:p w14:paraId="2A28F5F1" w14:textId="2AB000CA" w:rsidR="00853FE2" w:rsidRPr="002F4485" w:rsidRDefault="00853FE2" w:rsidP="00853FE2">
            <w:pPr>
              <w:rPr>
                <w:rFonts w:asciiTheme="minorHAnsi" w:hAnsiTheme="minorHAnsi" w:cstheme="minorHAnsi"/>
              </w:rPr>
            </w:pPr>
            <w:r>
              <w:rPr>
                <w:rFonts w:asciiTheme="minorHAnsi" w:hAnsiTheme="minorHAnsi" w:cstheme="minorHAnsi"/>
              </w:rPr>
              <w:t>10.</w:t>
            </w:r>
          </w:p>
        </w:tc>
        <w:tc>
          <w:tcPr>
            <w:tcW w:w="2552" w:type="dxa"/>
            <w:vAlign w:val="center"/>
          </w:tcPr>
          <w:p w14:paraId="006FF28D" w14:textId="795A5E53" w:rsidR="00853FE2" w:rsidRPr="002F4485" w:rsidRDefault="00853FE2" w:rsidP="00853FE2">
            <w:pPr>
              <w:rPr>
                <w:rFonts w:asciiTheme="minorHAnsi" w:hAnsiTheme="minorHAnsi" w:cstheme="minorHAnsi"/>
              </w:rPr>
            </w:pPr>
            <w:r>
              <w:rPr>
                <w:rFonts w:cs="Calibri"/>
                <w:color w:val="000000"/>
              </w:rPr>
              <w:t>Sołectwo Kajew</w:t>
            </w:r>
          </w:p>
        </w:tc>
        <w:tc>
          <w:tcPr>
            <w:tcW w:w="4536" w:type="dxa"/>
            <w:vAlign w:val="center"/>
          </w:tcPr>
          <w:p w14:paraId="7BCB5E42" w14:textId="4D4AF782" w:rsidR="00853FE2" w:rsidRPr="00F87D93" w:rsidRDefault="00853FE2" w:rsidP="00853FE2">
            <w:pPr>
              <w:rPr>
                <w:rFonts w:asciiTheme="minorHAnsi" w:hAnsiTheme="minorHAnsi" w:cstheme="minorHAnsi"/>
              </w:rPr>
            </w:pPr>
            <w:r w:rsidRPr="00F87D93">
              <w:rPr>
                <w:rFonts w:asciiTheme="minorHAnsi" w:hAnsiTheme="minorHAnsi" w:cstheme="minorHAnsi"/>
              </w:rPr>
              <w:t>Kajew</w:t>
            </w:r>
          </w:p>
          <w:p w14:paraId="61B8B016" w14:textId="120DE016" w:rsidR="00853FE2" w:rsidRPr="00A71F59" w:rsidRDefault="00853FE2" w:rsidP="00853FE2">
            <w:pPr>
              <w:rPr>
                <w:rFonts w:asciiTheme="minorHAnsi" w:hAnsiTheme="minorHAnsi" w:cstheme="minorHAnsi"/>
              </w:rPr>
            </w:pPr>
            <w:r w:rsidRPr="00F87D93">
              <w:rPr>
                <w:rFonts w:asciiTheme="minorHAnsi" w:hAnsiTheme="minorHAnsi" w:cstheme="minorHAnsi"/>
              </w:rPr>
              <w:t>Błonie</w:t>
            </w:r>
          </w:p>
        </w:tc>
        <w:tc>
          <w:tcPr>
            <w:tcW w:w="1842" w:type="dxa"/>
            <w:vAlign w:val="center"/>
          </w:tcPr>
          <w:p w14:paraId="054823EC" w14:textId="10A16BE3" w:rsidR="00853FE2" w:rsidRPr="002F4485" w:rsidRDefault="00853FE2" w:rsidP="00853FE2">
            <w:pPr>
              <w:rPr>
                <w:rFonts w:asciiTheme="minorHAnsi" w:hAnsiTheme="minorHAnsi" w:cstheme="minorHAnsi"/>
              </w:rPr>
            </w:pPr>
            <w:r>
              <w:rPr>
                <w:rFonts w:cs="Calibri"/>
                <w:color w:val="000000"/>
              </w:rPr>
              <w:t>408</w:t>
            </w:r>
          </w:p>
        </w:tc>
      </w:tr>
      <w:tr w:rsidR="00853FE2" w:rsidRPr="002F4485" w14:paraId="7D9E53C4" w14:textId="77777777" w:rsidTr="00853FE2">
        <w:tc>
          <w:tcPr>
            <w:tcW w:w="562" w:type="dxa"/>
            <w:vAlign w:val="center"/>
          </w:tcPr>
          <w:p w14:paraId="23E481C6" w14:textId="2EE17395" w:rsidR="00853FE2" w:rsidRPr="002F4485" w:rsidRDefault="00853FE2" w:rsidP="00853FE2">
            <w:pPr>
              <w:rPr>
                <w:rFonts w:asciiTheme="minorHAnsi" w:hAnsiTheme="minorHAnsi" w:cstheme="minorHAnsi"/>
              </w:rPr>
            </w:pPr>
            <w:r>
              <w:rPr>
                <w:rFonts w:asciiTheme="minorHAnsi" w:hAnsiTheme="minorHAnsi" w:cstheme="minorHAnsi"/>
              </w:rPr>
              <w:t>11.</w:t>
            </w:r>
          </w:p>
        </w:tc>
        <w:tc>
          <w:tcPr>
            <w:tcW w:w="2552" w:type="dxa"/>
            <w:vAlign w:val="center"/>
          </w:tcPr>
          <w:p w14:paraId="10534028" w14:textId="1AE1898B" w:rsidR="00853FE2" w:rsidRPr="002F4485" w:rsidRDefault="00853FE2" w:rsidP="00853FE2">
            <w:pPr>
              <w:rPr>
                <w:rFonts w:asciiTheme="minorHAnsi" w:hAnsiTheme="minorHAnsi" w:cstheme="minorHAnsi"/>
              </w:rPr>
            </w:pPr>
            <w:r>
              <w:rPr>
                <w:rFonts w:cs="Calibri"/>
                <w:color w:val="000000"/>
              </w:rPr>
              <w:t>Sołectwo Kopy</w:t>
            </w:r>
          </w:p>
        </w:tc>
        <w:tc>
          <w:tcPr>
            <w:tcW w:w="4536" w:type="dxa"/>
            <w:vAlign w:val="center"/>
          </w:tcPr>
          <w:p w14:paraId="64D0ECFC" w14:textId="2C894A49" w:rsidR="00853FE2" w:rsidRPr="00A71F59" w:rsidRDefault="00853FE2" w:rsidP="00853FE2">
            <w:pPr>
              <w:rPr>
                <w:rFonts w:asciiTheme="minorHAnsi" w:hAnsiTheme="minorHAnsi" w:cstheme="minorHAnsi"/>
              </w:rPr>
            </w:pPr>
            <w:r w:rsidRPr="00F87D93">
              <w:rPr>
                <w:rFonts w:asciiTheme="minorHAnsi" w:hAnsiTheme="minorHAnsi" w:cstheme="minorHAnsi"/>
              </w:rPr>
              <w:t>Kopy</w:t>
            </w:r>
          </w:p>
        </w:tc>
        <w:tc>
          <w:tcPr>
            <w:tcW w:w="1842" w:type="dxa"/>
            <w:vAlign w:val="center"/>
          </w:tcPr>
          <w:p w14:paraId="3E207110" w14:textId="1BB4ACAC" w:rsidR="00853FE2" w:rsidRPr="002F4485" w:rsidRDefault="00853FE2" w:rsidP="00853FE2">
            <w:pPr>
              <w:rPr>
                <w:rFonts w:asciiTheme="minorHAnsi" w:hAnsiTheme="minorHAnsi" w:cstheme="minorHAnsi"/>
              </w:rPr>
            </w:pPr>
            <w:r>
              <w:rPr>
                <w:rFonts w:cs="Calibri"/>
                <w:color w:val="000000"/>
              </w:rPr>
              <w:t>173</w:t>
            </w:r>
          </w:p>
        </w:tc>
      </w:tr>
      <w:tr w:rsidR="00853FE2" w:rsidRPr="002F4485" w14:paraId="4AF4B3ED" w14:textId="77777777" w:rsidTr="00853FE2">
        <w:tc>
          <w:tcPr>
            <w:tcW w:w="562" w:type="dxa"/>
            <w:vAlign w:val="center"/>
          </w:tcPr>
          <w:p w14:paraId="3E00880E" w14:textId="02EB6451" w:rsidR="00853FE2" w:rsidRPr="002F4485" w:rsidRDefault="00853FE2" w:rsidP="00853FE2">
            <w:pPr>
              <w:rPr>
                <w:rFonts w:asciiTheme="minorHAnsi" w:hAnsiTheme="minorHAnsi" w:cstheme="minorHAnsi"/>
              </w:rPr>
            </w:pPr>
            <w:r>
              <w:rPr>
                <w:rFonts w:asciiTheme="minorHAnsi" w:hAnsiTheme="minorHAnsi" w:cstheme="minorHAnsi"/>
              </w:rPr>
              <w:t>12.</w:t>
            </w:r>
          </w:p>
        </w:tc>
        <w:tc>
          <w:tcPr>
            <w:tcW w:w="2552" w:type="dxa"/>
            <w:vAlign w:val="center"/>
          </w:tcPr>
          <w:p w14:paraId="357052AF" w14:textId="596668D8" w:rsidR="00853FE2" w:rsidRPr="002F4485" w:rsidRDefault="00853FE2" w:rsidP="00853FE2">
            <w:pPr>
              <w:rPr>
                <w:rFonts w:asciiTheme="minorHAnsi" w:hAnsiTheme="minorHAnsi" w:cstheme="minorHAnsi"/>
              </w:rPr>
            </w:pPr>
            <w:r>
              <w:rPr>
                <w:rFonts w:cs="Calibri"/>
                <w:color w:val="000000"/>
              </w:rPr>
              <w:t>Sołectwo Luboradz</w:t>
            </w:r>
          </w:p>
        </w:tc>
        <w:tc>
          <w:tcPr>
            <w:tcW w:w="4536" w:type="dxa"/>
            <w:vAlign w:val="center"/>
          </w:tcPr>
          <w:p w14:paraId="144FC534" w14:textId="5BD3A757" w:rsidR="00853FE2" w:rsidRPr="00F87D93" w:rsidRDefault="00853FE2" w:rsidP="00853FE2">
            <w:pPr>
              <w:rPr>
                <w:rFonts w:asciiTheme="minorHAnsi" w:hAnsiTheme="minorHAnsi" w:cstheme="minorHAnsi"/>
              </w:rPr>
            </w:pPr>
            <w:r w:rsidRPr="00F87D93">
              <w:rPr>
                <w:rFonts w:asciiTheme="minorHAnsi" w:hAnsiTheme="minorHAnsi" w:cstheme="minorHAnsi"/>
              </w:rPr>
              <w:t>Luboradz</w:t>
            </w:r>
          </w:p>
          <w:p w14:paraId="3120D5FF" w14:textId="430076EF" w:rsidR="00853FE2" w:rsidRPr="00A71F59" w:rsidRDefault="00853FE2" w:rsidP="00853FE2">
            <w:pPr>
              <w:rPr>
                <w:rFonts w:asciiTheme="minorHAnsi" w:hAnsiTheme="minorHAnsi" w:cstheme="minorHAnsi"/>
              </w:rPr>
            </w:pPr>
            <w:r w:rsidRPr="00F87D93">
              <w:rPr>
                <w:rFonts w:asciiTheme="minorHAnsi" w:hAnsiTheme="minorHAnsi" w:cstheme="minorHAnsi"/>
              </w:rPr>
              <w:t>Godzięby</w:t>
            </w:r>
          </w:p>
        </w:tc>
        <w:tc>
          <w:tcPr>
            <w:tcW w:w="1842" w:type="dxa"/>
            <w:vAlign w:val="center"/>
          </w:tcPr>
          <w:p w14:paraId="53BE69FB" w14:textId="7D5107B7" w:rsidR="00853FE2" w:rsidRPr="002F4485" w:rsidRDefault="00853FE2" w:rsidP="00853FE2">
            <w:pPr>
              <w:rPr>
                <w:rFonts w:asciiTheme="minorHAnsi" w:hAnsiTheme="minorHAnsi" w:cstheme="minorHAnsi"/>
              </w:rPr>
            </w:pPr>
            <w:r>
              <w:rPr>
                <w:rFonts w:cs="Calibri"/>
                <w:color w:val="000000"/>
              </w:rPr>
              <w:t>122</w:t>
            </w:r>
          </w:p>
        </w:tc>
      </w:tr>
      <w:tr w:rsidR="00853FE2" w:rsidRPr="002F4485" w14:paraId="2DE62DB7" w14:textId="77777777" w:rsidTr="00853FE2">
        <w:tc>
          <w:tcPr>
            <w:tcW w:w="562" w:type="dxa"/>
            <w:vAlign w:val="center"/>
          </w:tcPr>
          <w:p w14:paraId="28A75A99" w14:textId="05AFCCCC" w:rsidR="00853FE2" w:rsidRPr="002F4485" w:rsidRDefault="00853FE2" w:rsidP="00853FE2">
            <w:pPr>
              <w:rPr>
                <w:rFonts w:asciiTheme="minorHAnsi" w:hAnsiTheme="minorHAnsi" w:cstheme="minorHAnsi"/>
              </w:rPr>
            </w:pPr>
            <w:r>
              <w:rPr>
                <w:rFonts w:asciiTheme="minorHAnsi" w:hAnsiTheme="minorHAnsi" w:cstheme="minorHAnsi"/>
              </w:rPr>
              <w:t>13.</w:t>
            </w:r>
          </w:p>
        </w:tc>
        <w:tc>
          <w:tcPr>
            <w:tcW w:w="2552" w:type="dxa"/>
            <w:vAlign w:val="center"/>
          </w:tcPr>
          <w:p w14:paraId="374B6EB5" w14:textId="48D10E05" w:rsidR="00853FE2" w:rsidRPr="002F4485" w:rsidRDefault="00853FE2" w:rsidP="00853FE2">
            <w:pPr>
              <w:rPr>
                <w:rFonts w:asciiTheme="minorHAnsi" w:hAnsiTheme="minorHAnsi" w:cstheme="minorHAnsi"/>
              </w:rPr>
            </w:pPr>
            <w:r>
              <w:rPr>
                <w:rFonts w:cs="Calibri"/>
                <w:color w:val="000000"/>
              </w:rPr>
              <w:t>Sołectwo Morawce</w:t>
            </w:r>
          </w:p>
        </w:tc>
        <w:tc>
          <w:tcPr>
            <w:tcW w:w="4536" w:type="dxa"/>
            <w:vAlign w:val="center"/>
          </w:tcPr>
          <w:p w14:paraId="2338FAB3" w14:textId="33427FA5" w:rsidR="00853FE2" w:rsidRPr="00F87D93" w:rsidRDefault="00853FE2" w:rsidP="00853FE2">
            <w:pPr>
              <w:rPr>
                <w:rFonts w:asciiTheme="minorHAnsi" w:hAnsiTheme="minorHAnsi" w:cstheme="minorHAnsi"/>
              </w:rPr>
            </w:pPr>
            <w:r w:rsidRPr="00F87D93">
              <w:rPr>
                <w:rFonts w:asciiTheme="minorHAnsi" w:hAnsiTheme="minorHAnsi" w:cstheme="minorHAnsi"/>
              </w:rPr>
              <w:t>Morawce</w:t>
            </w:r>
          </w:p>
          <w:p w14:paraId="5BF66AA3" w14:textId="2109A5F2" w:rsidR="00853FE2" w:rsidRPr="00F87D93" w:rsidRDefault="00853FE2" w:rsidP="00853FE2">
            <w:pPr>
              <w:rPr>
                <w:rFonts w:asciiTheme="minorHAnsi" w:hAnsiTheme="minorHAnsi" w:cstheme="minorHAnsi"/>
              </w:rPr>
            </w:pPr>
            <w:r w:rsidRPr="00F87D93">
              <w:rPr>
                <w:rFonts w:asciiTheme="minorHAnsi" w:hAnsiTheme="minorHAnsi" w:cstheme="minorHAnsi"/>
              </w:rPr>
              <w:t>Stare Morawce</w:t>
            </w:r>
          </w:p>
          <w:p w14:paraId="1765D63E" w14:textId="6E544F12" w:rsidR="00853FE2" w:rsidRPr="00F87D93" w:rsidRDefault="00853FE2" w:rsidP="00853FE2">
            <w:pPr>
              <w:rPr>
                <w:rFonts w:asciiTheme="minorHAnsi" w:hAnsiTheme="minorHAnsi" w:cstheme="minorHAnsi"/>
              </w:rPr>
            </w:pPr>
            <w:r w:rsidRPr="00F87D93">
              <w:rPr>
                <w:rFonts w:asciiTheme="minorHAnsi" w:hAnsiTheme="minorHAnsi" w:cstheme="minorHAnsi"/>
              </w:rPr>
              <w:t>Krzewie</w:t>
            </w:r>
          </w:p>
          <w:p w14:paraId="38D8D8FF" w14:textId="11D132BD" w:rsidR="00853FE2" w:rsidRPr="00F87D93" w:rsidRDefault="00853FE2" w:rsidP="00853FE2">
            <w:pPr>
              <w:rPr>
                <w:rFonts w:asciiTheme="minorHAnsi" w:hAnsiTheme="minorHAnsi" w:cstheme="minorHAnsi"/>
              </w:rPr>
            </w:pPr>
            <w:r w:rsidRPr="00F87D93">
              <w:rPr>
                <w:rFonts w:asciiTheme="minorHAnsi" w:hAnsiTheme="minorHAnsi" w:cstheme="minorHAnsi"/>
              </w:rPr>
              <w:t>Rozpacz</w:t>
            </w:r>
          </w:p>
          <w:p w14:paraId="63E2E866" w14:textId="4F210834" w:rsidR="00853FE2" w:rsidRPr="00A71F59" w:rsidRDefault="00853FE2" w:rsidP="00853FE2">
            <w:pPr>
              <w:rPr>
                <w:rFonts w:asciiTheme="minorHAnsi" w:hAnsiTheme="minorHAnsi" w:cstheme="minorHAnsi"/>
              </w:rPr>
            </w:pPr>
            <w:r w:rsidRPr="00F87D93">
              <w:rPr>
                <w:rFonts w:asciiTheme="minorHAnsi" w:hAnsiTheme="minorHAnsi" w:cstheme="minorHAnsi"/>
              </w:rPr>
              <w:t>Zosinek</w:t>
            </w:r>
          </w:p>
        </w:tc>
        <w:tc>
          <w:tcPr>
            <w:tcW w:w="1842" w:type="dxa"/>
            <w:vAlign w:val="center"/>
          </w:tcPr>
          <w:p w14:paraId="12FA784F" w14:textId="28A1F164" w:rsidR="00853FE2" w:rsidRPr="002F4485" w:rsidRDefault="00853FE2" w:rsidP="00853FE2">
            <w:pPr>
              <w:rPr>
                <w:rFonts w:asciiTheme="minorHAnsi" w:hAnsiTheme="minorHAnsi" w:cstheme="minorHAnsi"/>
              </w:rPr>
            </w:pPr>
            <w:r>
              <w:rPr>
                <w:rFonts w:cs="Calibri"/>
                <w:color w:val="000000"/>
              </w:rPr>
              <w:t>256</w:t>
            </w:r>
          </w:p>
        </w:tc>
      </w:tr>
      <w:tr w:rsidR="00853FE2" w:rsidRPr="002F4485" w14:paraId="7FE62E04" w14:textId="77777777" w:rsidTr="00853FE2">
        <w:tc>
          <w:tcPr>
            <w:tcW w:w="562" w:type="dxa"/>
            <w:vAlign w:val="center"/>
          </w:tcPr>
          <w:p w14:paraId="7274961A" w14:textId="71F03093" w:rsidR="00853FE2" w:rsidRPr="002F4485" w:rsidRDefault="00853FE2" w:rsidP="00853FE2">
            <w:pPr>
              <w:rPr>
                <w:rFonts w:asciiTheme="minorHAnsi" w:hAnsiTheme="minorHAnsi" w:cstheme="minorHAnsi"/>
              </w:rPr>
            </w:pPr>
            <w:r>
              <w:rPr>
                <w:rFonts w:asciiTheme="minorHAnsi" w:hAnsiTheme="minorHAnsi" w:cstheme="minorHAnsi"/>
              </w:rPr>
              <w:t>14.</w:t>
            </w:r>
          </w:p>
        </w:tc>
        <w:tc>
          <w:tcPr>
            <w:tcW w:w="2552" w:type="dxa"/>
            <w:vAlign w:val="center"/>
          </w:tcPr>
          <w:p w14:paraId="7DAF4E5D" w14:textId="1713B0B5" w:rsidR="00853FE2" w:rsidRPr="002F4485" w:rsidRDefault="00853FE2" w:rsidP="00853FE2">
            <w:pPr>
              <w:rPr>
                <w:rFonts w:asciiTheme="minorHAnsi" w:hAnsiTheme="minorHAnsi" w:cstheme="minorHAnsi"/>
              </w:rPr>
            </w:pPr>
            <w:r>
              <w:rPr>
                <w:rFonts w:cs="Calibri"/>
                <w:color w:val="000000"/>
              </w:rPr>
              <w:t>Sołectwo Nowe</w:t>
            </w:r>
          </w:p>
        </w:tc>
        <w:tc>
          <w:tcPr>
            <w:tcW w:w="4536" w:type="dxa"/>
            <w:vAlign w:val="center"/>
          </w:tcPr>
          <w:p w14:paraId="1B48FA89" w14:textId="7D451A33" w:rsidR="00853FE2" w:rsidRPr="00F87D93" w:rsidRDefault="00853FE2" w:rsidP="00853FE2">
            <w:pPr>
              <w:rPr>
                <w:rFonts w:asciiTheme="minorHAnsi" w:hAnsiTheme="minorHAnsi" w:cstheme="minorHAnsi"/>
              </w:rPr>
            </w:pPr>
            <w:r w:rsidRPr="00F87D93">
              <w:rPr>
                <w:rFonts w:asciiTheme="minorHAnsi" w:hAnsiTheme="minorHAnsi" w:cstheme="minorHAnsi"/>
              </w:rPr>
              <w:t>Nowe</w:t>
            </w:r>
          </w:p>
          <w:p w14:paraId="495E4DC8" w14:textId="44631910" w:rsidR="00853FE2" w:rsidRPr="00A71F59" w:rsidRDefault="00853FE2" w:rsidP="00853FE2">
            <w:pPr>
              <w:rPr>
                <w:rFonts w:asciiTheme="minorHAnsi" w:hAnsiTheme="minorHAnsi" w:cstheme="minorHAnsi"/>
              </w:rPr>
            </w:pPr>
            <w:r w:rsidRPr="00F87D93">
              <w:rPr>
                <w:rFonts w:asciiTheme="minorHAnsi" w:hAnsiTheme="minorHAnsi" w:cstheme="minorHAnsi"/>
              </w:rPr>
              <w:t>Skłóty</w:t>
            </w:r>
          </w:p>
        </w:tc>
        <w:tc>
          <w:tcPr>
            <w:tcW w:w="1842" w:type="dxa"/>
            <w:vAlign w:val="center"/>
          </w:tcPr>
          <w:p w14:paraId="41DABF35" w14:textId="67B6512F" w:rsidR="00853FE2" w:rsidRPr="002F4485" w:rsidRDefault="00853FE2" w:rsidP="00853FE2">
            <w:pPr>
              <w:rPr>
                <w:rFonts w:asciiTheme="minorHAnsi" w:hAnsiTheme="minorHAnsi" w:cstheme="minorHAnsi"/>
              </w:rPr>
            </w:pPr>
            <w:r>
              <w:rPr>
                <w:rFonts w:cs="Calibri"/>
                <w:color w:val="000000"/>
              </w:rPr>
              <w:t>347</w:t>
            </w:r>
          </w:p>
        </w:tc>
      </w:tr>
      <w:tr w:rsidR="00853FE2" w:rsidRPr="002F4485" w14:paraId="76844E84" w14:textId="77777777" w:rsidTr="00853FE2">
        <w:tc>
          <w:tcPr>
            <w:tcW w:w="562" w:type="dxa"/>
            <w:vAlign w:val="center"/>
          </w:tcPr>
          <w:p w14:paraId="3C804085" w14:textId="39B07A01" w:rsidR="00853FE2" w:rsidRPr="002F4485" w:rsidRDefault="00853FE2" w:rsidP="00853FE2">
            <w:pPr>
              <w:rPr>
                <w:rFonts w:asciiTheme="minorHAnsi" w:hAnsiTheme="minorHAnsi" w:cstheme="minorHAnsi"/>
              </w:rPr>
            </w:pPr>
            <w:r>
              <w:rPr>
                <w:rFonts w:asciiTheme="minorHAnsi" w:hAnsiTheme="minorHAnsi" w:cstheme="minorHAnsi"/>
              </w:rPr>
              <w:t>15.</w:t>
            </w:r>
          </w:p>
        </w:tc>
        <w:tc>
          <w:tcPr>
            <w:tcW w:w="2552" w:type="dxa"/>
            <w:vAlign w:val="center"/>
          </w:tcPr>
          <w:p w14:paraId="1F380BE7" w14:textId="696ECFE4" w:rsidR="00853FE2" w:rsidRPr="002F4485" w:rsidRDefault="00853FE2" w:rsidP="00853FE2">
            <w:pPr>
              <w:rPr>
                <w:rFonts w:asciiTheme="minorHAnsi" w:hAnsiTheme="minorHAnsi" w:cstheme="minorHAnsi"/>
              </w:rPr>
            </w:pPr>
            <w:r>
              <w:rPr>
                <w:rFonts w:cs="Calibri"/>
                <w:color w:val="000000"/>
              </w:rPr>
              <w:t>Sołectwo Ostałów</w:t>
            </w:r>
          </w:p>
        </w:tc>
        <w:tc>
          <w:tcPr>
            <w:tcW w:w="4536" w:type="dxa"/>
            <w:vAlign w:val="center"/>
          </w:tcPr>
          <w:p w14:paraId="2238CB96" w14:textId="337311AE" w:rsidR="00853FE2" w:rsidRPr="00F87D93" w:rsidRDefault="00853FE2" w:rsidP="00853FE2">
            <w:pPr>
              <w:rPr>
                <w:rFonts w:asciiTheme="minorHAnsi" w:hAnsiTheme="minorHAnsi" w:cstheme="minorHAnsi"/>
              </w:rPr>
            </w:pPr>
            <w:r w:rsidRPr="00F87D93">
              <w:rPr>
                <w:rFonts w:asciiTheme="minorHAnsi" w:hAnsiTheme="minorHAnsi" w:cstheme="minorHAnsi"/>
              </w:rPr>
              <w:t>Ostałów</w:t>
            </w:r>
          </w:p>
          <w:p w14:paraId="442D71BD" w14:textId="459FA968" w:rsidR="00853FE2" w:rsidRPr="00A71F59" w:rsidRDefault="00853FE2" w:rsidP="00853FE2">
            <w:pPr>
              <w:rPr>
                <w:rFonts w:asciiTheme="minorHAnsi" w:hAnsiTheme="minorHAnsi" w:cstheme="minorHAnsi"/>
              </w:rPr>
            </w:pPr>
            <w:r w:rsidRPr="00F87D93">
              <w:rPr>
                <w:rFonts w:asciiTheme="minorHAnsi" w:hAnsiTheme="minorHAnsi" w:cstheme="minorHAnsi"/>
              </w:rPr>
              <w:t>Tumidaj</w:t>
            </w:r>
          </w:p>
        </w:tc>
        <w:tc>
          <w:tcPr>
            <w:tcW w:w="1842" w:type="dxa"/>
            <w:vAlign w:val="center"/>
          </w:tcPr>
          <w:p w14:paraId="1E712AD1" w14:textId="58555954" w:rsidR="00853FE2" w:rsidRPr="002F4485" w:rsidRDefault="00853FE2" w:rsidP="00853FE2">
            <w:pPr>
              <w:rPr>
                <w:rFonts w:asciiTheme="minorHAnsi" w:hAnsiTheme="minorHAnsi" w:cstheme="minorHAnsi"/>
              </w:rPr>
            </w:pPr>
            <w:r>
              <w:rPr>
                <w:rFonts w:cs="Calibri"/>
                <w:color w:val="000000"/>
              </w:rPr>
              <w:t>84</w:t>
            </w:r>
          </w:p>
        </w:tc>
      </w:tr>
      <w:tr w:rsidR="00853FE2" w:rsidRPr="002F4485" w14:paraId="4A82D7AD" w14:textId="77777777" w:rsidTr="00853FE2">
        <w:trPr>
          <w:trHeight w:val="147"/>
        </w:trPr>
        <w:tc>
          <w:tcPr>
            <w:tcW w:w="562" w:type="dxa"/>
            <w:vAlign w:val="center"/>
          </w:tcPr>
          <w:p w14:paraId="4CC51FCE" w14:textId="6946F278" w:rsidR="00853FE2" w:rsidRPr="002F4485" w:rsidRDefault="00853FE2" w:rsidP="00853FE2">
            <w:pPr>
              <w:rPr>
                <w:rFonts w:asciiTheme="minorHAnsi" w:hAnsiTheme="minorHAnsi" w:cstheme="minorHAnsi"/>
              </w:rPr>
            </w:pPr>
            <w:r>
              <w:rPr>
                <w:rFonts w:asciiTheme="minorHAnsi" w:hAnsiTheme="minorHAnsi" w:cstheme="minorHAnsi"/>
              </w:rPr>
              <w:t>16.</w:t>
            </w:r>
          </w:p>
        </w:tc>
        <w:tc>
          <w:tcPr>
            <w:tcW w:w="2552" w:type="dxa"/>
            <w:vAlign w:val="center"/>
          </w:tcPr>
          <w:p w14:paraId="4161F36F" w14:textId="5B2A4A3F" w:rsidR="00853FE2" w:rsidRPr="002F4485" w:rsidRDefault="00853FE2" w:rsidP="00853FE2">
            <w:pPr>
              <w:rPr>
                <w:rFonts w:asciiTheme="minorHAnsi" w:hAnsiTheme="minorHAnsi" w:cstheme="minorHAnsi"/>
              </w:rPr>
            </w:pPr>
            <w:r>
              <w:rPr>
                <w:rFonts w:cs="Calibri"/>
                <w:color w:val="000000"/>
              </w:rPr>
              <w:t>Sołectwo Pawlikowice</w:t>
            </w:r>
          </w:p>
        </w:tc>
        <w:tc>
          <w:tcPr>
            <w:tcW w:w="4536" w:type="dxa"/>
            <w:vAlign w:val="center"/>
          </w:tcPr>
          <w:p w14:paraId="65C4BBBE" w14:textId="315EBE32" w:rsidR="00853FE2" w:rsidRPr="00A71F59" w:rsidRDefault="00853FE2" w:rsidP="00853FE2">
            <w:pPr>
              <w:rPr>
                <w:rFonts w:asciiTheme="minorHAnsi" w:hAnsiTheme="minorHAnsi" w:cstheme="minorHAnsi"/>
              </w:rPr>
            </w:pPr>
            <w:r w:rsidRPr="00F87D93">
              <w:rPr>
                <w:rFonts w:asciiTheme="minorHAnsi" w:hAnsiTheme="minorHAnsi" w:cstheme="minorHAnsi"/>
              </w:rPr>
              <w:t>Pawlikowice</w:t>
            </w:r>
          </w:p>
        </w:tc>
        <w:tc>
          <w:tcPr>
            <w:tcW w:w="1842" w:type="dxa"/>
            <w:vAlign w:val="center"/>
          </w:tcPr>
          <w:p w14:paraId="476360BC" w14:textId="5D50E2E0" w:rsidR="00853FE2" w:rsidRPr="002F4485" w:rsidRDefault="00853FE2" w:rsidP="00853FE2">
            <w:pPr>
              <w:rPr>
                <w:rFonts w:asciiTheme="minorHAnsi" w:hAnsiTheme="minorHAnsi" w:cstheme="minorHAnsi"/>
              </w:rPr>
            </w:pPr>
            <w:r>
              <w:rPr>
                <w:rFonts w:cs="Calibri"/>
                <w:color w:val="000000"/>
              </w:rPr>
              <w:t>119</w:t>
            </w:r>
          </w:p>
        </w:tc>
      </w:tr>
      <w:tr w:rsidR="00853FE2" w:rsidRPr="002F4485" w14:paraId="333E4677" w14:textId="77777777" w:rsidTr="00853FE2">
        <w:tc>
          <w:tcPr>
            <w:tcW w:w="562" w:type="dxa"/>
            <w:vAlign w:val="center"/>
          </w:tcPr>
          <w:p w14:paraId="1898D759" w14:textId="327E8CCA" w:rsidR="00853FE2" w:rsidRPr="002F4485" w:rsidRDefault="00853FE2" w:rsidP="00853FE2">
            <w:pPr>
              <w:rPr>
                <w:rFonts w:asciiTheme="minorHAnsi" w:hAnsiTheme="minorHAnsi" w:cstheme="minorHAnsi"/>
              </w:rPr>
            </w:pPr>
            <w:r>
              <w:rPr>
                <w:rFonts w:asciiTheme="minorHAnsi" w:hAnsiTheme="minorHAnsi" w:cstheme="minorHAnsi"/>
              </w:rPr>
              <w:t>17.</w:t>
            </w:r>
          </w:p>
        </w:tc>
        <w:tc>
          <w:tcPr>
            <w:tcW w:w="2552" w:type="dxa"/>
            <w:vAlign w:val="center"/>
          </w:tcPr>
          <w:p w14:paraId="3A8A4075" w14:textId="006F4CB9" w:rsidR="00853FE2" w:rsidRPr="002F4485" w:rsidRDefault="00853FE2" w:rsidP="00853FE2">
            <w:pPr>
              <w:rPr>
                <w:rFonts w:asciiTheme="minorHAnsi" w:hAnsiTheme="minorHAnsi" w:cstheme="minorHAnsi"/>
              </w:rPr>
            </w:pPr>
            <w:r>
              <w:rPr>
                <w:rFonts w:cs="Calibri"/>
                <w:color w:val="000000"/>
              </w:rPr>
              <w:t>Sołectwo Pomarzany</w:t>
            </w:r>
          </w:p>
        </w:tc>
        <w:tc>
          <w:tcPr>
            <w:tcW w:w="4536" w:type="dxa"/>
            <w:vAlign w:val="center"/>
          </w:tcPr>
          <w:p w14:paraId="64D79B26" w14:textId="19458C25" w:rsidR="00853FE2" w:rsidRPr="00A71F59" w:rsidRDefault="00853FE2" w:rsidP="00853FE2">
            <w:pPr>
              <w:rPr>
                <w:rFonts w:asciiTheme="minorHAnsi" w:hAnsiTheme="minorHAnsi" w:cstheme="minorHAnsi"/>
              </w:rPr>
            </w:pPr>
            <w:r w:rsidRPr="00F87D93">
              <w:rPr>
                <w:rFonts w:asciiTheme="minorHAnsi" w:hAnsiTheme="minorHAnsi" w:cstheme="minorHAnsi"/>
              </w:rPr>
              <w:t>Pomarzany</w:t>
            </w:r>
          </w:p>
        </w:tc>
        <w:tc>
          <w:tcPr>
            <w:tcW w:w="1842" w:type="dxa"/>
            <w:vAlign w:val="center"/>
          </w:tcPr>
          <w:p w14:paraId="3E67E80E" w14:textId="031C92C8" w:rsidR="00853FE2" w:rsidRPr="002F4485" w:rsidRDefault="00853FE2" w:rsidP="00853FE2">
            <w:pPr>
              <w:rPr>
                <w:rFonts w:asciiTheme="minorHAnsi" w:hAnsiTheme="minorHAnsi" w:cstheme="minorHAnsi"/>
              </w:rPr>
            </w:pPr>
            <w:r>
              <w:rPr>
                <w:rFonts w:cs="Calibri"/>
                <w:color w:val="000000"/>
              </w:rPr>
              <w:t>269</w:t>
            </w:r>
          </w:p>
        </w:tc>
      </w:tr>
      <w:tr w:rsidR="00853FE2" w:rsidRPr="002F4485" w14:paraId="372217C5" w14:textId="77777777" w:rsidTr="00853FE2">
        <w:tc>
          <w:tcPr>
            <w:tcW w:w="562" w:type="dxa"/>
            <w:vAlign w:val="center"/>
          </w:tcPr>
          <w:p w14:paraId="772213DA" w14:textId="7E142652" w:rsidR="00853FE2" w:rsidRPr="002F4485" w:rsidRDefault="00853FE2" w:rsidP="00853FE2">
            <w:pPr>
              <w:rPr>
                <w:rFonts w:asciiTheme="minorHAnsi" w:hAnsiTheme="minorHAnsi" w:cstheme="minorHAnsi"/>
              </w:rPr>
            </w:pPr>
            <w:r>
              <w:rPr>
                <w:rFonts w:asciiTheme="minorHAnsi" w:hAnsiTheme="minorHAnsi" w:cstheme="minorHAnsi"/>
              </w:rPr>
              <w:t>18.</w:t>
            </w:r>
          </w:p>
        </w:tc>
        <w:tc>
          <w:tcPr>
            <w:tcW w:w="2552" w:type="dxa"/>
            <w:vAlign w:val="center"/>
          </w:tcPr>
          <w:p w14:paraId="71607D1E" w14:textId="48DF1605" w:rsidR="00853FE2" w:rsidRPr="002F4485" w:rsidRDefault="00853FE2" w:rsidP="00853FE2">
            <w:pPr>
              <w:rPr>
                <w:rFonts w:asciiTheme="minorHAnsi" w:hAnsiTheme="minorHAnsi" w:cstheme="minorHAnsi"/>
              </w:rPr>
            </w:pPr>
            <w:r>
              <w:rPr>
                <w:rFonts w:cs="Calibri"/>
                <w:color w:val="000000"/>
              </w:rPr>
              <w:t>Sołectwo Suchodoły</w:t>
            </w:r>
          </w:p>
        </w:tc>
        <w:tc>
          <w:tcPr>
            <w:tcW w:w="4536" w:type="dxa"/>
            <w:vAlign w:val="center"/>
          </w:tcPr>
          <w:p w14:paraId="1DACC988" w14:textId="66886D78" w:rsidR="00853FE2" w:rsidRPr="00A71F59" w:rsidRDefault="00853FE2" w:rsidP="00853FE2">
            <w:pPr>
              <w:rPr>
                <w:rFonts w:asciiTheme="minorHAnsi" w:hAnsiTheme="minorHAnsi" w:cstheme="minorHAnsi"/>
              </w:rPr>
            </w:pPr>
            <w:r w:rsidRPr="00F87D93">
              <w:rPr>
                <w:rFonts w:asciiTheme="minorHAnsi" w:hAnsiTheme="minorHAnsi" w:cstheme="minorHAnsi"/>
              </w:rPr>
              <w:t>Suchodoły</w:t>
            </w:r>
          </w:p>
        </w:tc>
        <w:tc>
          <w:tcPr>
            <w:tcW w:w="1842" w:type="dxa"/>
            <w:vAlign w:val="center"/>
          </w:tcPr>
          <w:p w14:paraId="08BC33F6" w14:textId="7A37A93E" w:rsidR="00853FE2" w:rsidRPr="002F4485" w:rsidRDefault="00853FE2" w:rsidP="00853FE2">
            <w:pPr>
              <w:rPr>
                <w:rFonts w:asciiTheme="minorHAnsi" w:hAnsiTheme="minorHAnsi" w:cstheme="minorHAnsi"/>
              </w:rPr>
            </w:pPr>
            <w:r>
              <w:rPr>
                <w:rFonts w:cs="Calibri"/>
                <w:color w:val="000000"/>
              </w:rPr>
              <w:t>50</w:t>
            </w:r>
          </w:p>
        </w:tc>
      </w:tr>
      <w:tr w:rsidR="00853FE2" w:rsidRPr="002F4485" w14:paraId="35D86511" w14:textId="77777777" w:rsidTr="00853FE2">
        <w:tc>
          <w:tcPr>
            <w:tcW w:w="562" w:type="dxa"/>
            <w:vAlign w:val="center"/>
          </w:tcPr>
          <w:p w14:paraId="31F6AB45" w14:textId="00C393A6" w:rsidR="00853FE2" w:rsidRPr="002F4485" w:rsidRDefault="00853FE2" w:rsidP="00853FE2">
            <w:pPr>
              <w:rPr>
                <w:rFonts w:asciiTheme="minorHAnsi" w:hAnsiTheme="minorHAnsi" w:cstheme="minorHAnsi"/>
              </w:rPr>
            </w:pPr>
            <w:r>
              <w:rPr>
                <w:rFonts w:asciiTheme="minorHAnsi" w:hAnsiTheme="minorHAnsi" w:cstheme="minorHAnsi"/>
              </w:rPr>
              <w:t>19.</w:t>
            </w:r>
          </w:p>
        </w:tc>
        <w:tc>
          <w:tcPr>
            <w:tcW w:w="2552" w:type="dxa"/>
            <w:vAlign w:val="center"/>
          </w:tcPr>
          <w:p w14:paraId="5F155393" w14:textId="315C9C3A" w:rsidR="00853FE2" w:rsidRPr="002F4485" w:rsidRDefault="00853FE2" w:rsidP="00853FE2">
            <w:pPr>
              <w:rPr>
                <w:rFonts w:asciiTheme="minorHAnsi" w:hAnsiTheme="minorHAnsi" w:cstheme="minorHAnsi"/>
              </w:rPr>
            </w:pPr>
            <w:r>
              <w:rPr>
                <w:rFonts w:cs="Calibri"/>
                <w:color w:val="000000"/>
              </w:rPr>
              <w:t>Sołectwo Szubina</w:t>
            </w:r>
          </w:p>
        </w:tc>
        <w:tc>
          <w:tcPr>
            <w:tcW w:w="4536" w:type="dxa"/>
            <w:vAlign w:val="center"/>
          </w:tcPr>
          <w:p w14:paraId="317915AC" w14:textId="4CCED80C" w:rsidR="00853FE2" w:rsidRPr="00F87D93" w:rsidRDefault="00853FE2" w:rsidP="00853FE2">
            <w:pPr>
              <w:rPr>
                <w:rFonts w:asciiTheme="minorHAnsi" w:hAnsiTheme="minorHAnsi" w:cstheme="minorHAnsi"/>
              </w:rPr>
            </w:pPr>
            <w:r w:rsidRPr="00F87D93">
              <w:rPr>
                <w:rFonts w:asciiTheme="minorHAnsi" w:hAnsiTheme="minorHAnsi" w:cstheme="minorHAnsi"/>
              </w:rPr>
              <w:t>Szubina</w:t>
            </w:r>
          </w:p>
          <w:p w14:paraId="5034229E" w14:textId="48A533CB" w:rsidR="00853FE2" w:rsidRPr="00A71F59" w:rsidRDefault="00853FE2" w:rsidP="00853FE2">
            <w:pPr>
              <w:rPr>
                <w:rFonts w:asciiTheme="minorHAnsi" w:hAnsiTheme="minorHAnsi" w:cstheme="minorHAnsi"/>
              </w:rPr>
            </w:pPr>
            <w:r w:rsidRPr="00F87D93">
              <w:rPr>
                <w:rFonts w:asciiTheme="minorHAnsi" w:hAnsiTheme="minorHAnsi" w:cstheme="minorHAnsi"/>
              </w:rPr>
              <w:t>Iwiczna</w:t>
            </w:r>
          </w:p>
        </w:tc>
        <w:tc>
          <w:tcPr>
            <w:tcW w:w="1842" w:type="dxa"/>
            <w:vAlign w:val="center"/>
          </w:tcPr>
          <w:p w14:paraId="7B20D6AB" w14:textId="44649E45" w:rsidR="00853FE2" w:rsidRPr="002F4485" w:rsidRDefault="00853FE2" w:rsidP="00853FE2">
            <w:pPr>
              <w:rPr>
                <w:rFonts w:asciiTheme="minorHAnsi" w:hAnsiTheme="minorHAnsi" w:cstheme="minorHAnsi"/>
              </w:rPr>
            </w:pPr>
            <w:r>
              <w:rPr>
                <w:rFonts w:cs="Calibri"/>
                <w:color w:val="000000"/>
              </w:rPr>
              <w:t>152</w:t>
            </w:r>
          </w:p>
        </w:tc>
      </w:tr>
      <w:tr w:rsidR="00853FE2" w:rsidRPr="002F4485" w14:paraId="45EE98CB" w14:textId="77777777" w:rsidTr="00853FE2">
        <w:tc>
          <w:tcPr>
            <w:tcW w:w="562" w:type="dxa"/>
            <w:vAlign w:val="center"/>
          </w:tcPr>
          <w:p w14:paraId="49AA1C42" w14:textId="37D03EAD" w:rsidR="00853FE2" w:rsidRPr="002F4485" w:rsidRDefault="00853FE2" w:rsidP="00853FE2">
            <w:pPr>
              <w:rPr>
                <w:rFonts w:asciiTheme="minorHAnsi" w:hAnsiTheme="minorHAnsi" w:cstheme="minorHAnsi"/>
              </w:rPr>
            </w:pPr>
            <w:r>
              <w:rPr>
                <w:rFonts w:asciiTheme="minorHAnsi" w:hAnsiTheme="minorHAnsi" w:cstheme="minorHAnsi"/>
              </w:rPr>
              <w:t>20.</w:t>
            </w:r>
          </w:p>
        </w:tc>
        <w:tc>
          <w:tcPr>
            <w:tcW w:w="2552" w:type="dxa"/>
            <w:vAlign w:val="center"/>
          </w:tcPr>
          <w:p w14:paraId="1E0AFD13" w14:textId="48E23D47" w:rsidR="00853FE2" w:rsidRPr="002F4485" w:rsidRDefault="00853FE2" w:rsidP="00853FE2">
            <w:pPr>
              <w:rPr>
                <w:rFonts w:asciiTheme="minorHAnsi" w:hAnsiTheme="minorHAnsi" w:cstheme="minorHAnsi"/>
              </w:rPr>
            </w:pPr>
            <w:r>
              <w:rPr>
                <w:rFonts w:cs="Calibri"/>
                <w:color w:val="000000"/>
              </w:rPr>
              <w:t>Sołectwo Szubsk Duży</w:t>
            </w:r>
          </w:p>
        </w:tc>
        <w:tc>
          <w:tcPr>
            <w:tcW w:w="4536" w:type="dxa"/>
            <w:vAlign w:val="center"/>
          </w:tcPr>
          <w:p w14:paraId="269B875D" w14:textId="737E07C6" w:rsidR="00853FE2" w:rsidRPr="00A71F59" w:rsidRDefault="00853FE2" w:rsidP="00853FE2">
            <w:pPr>
              <w:rPr>
                <w:rFonts w:asciiTheme="minorHAnsi" w:hAnsiTheme="minorHAnsi" w:cstheme="minorHAnsi"/>
              </w:rPr>
            </w:pPr>
            <w:r w:rsidRPr="00F87D93">
              <w:rPr>
                <w:rFonts w:asciiTheme="minorHAnsi" w:hAnsiTheme="minorHAnsi" w:cstheme="minorHAnsi"/>
              </w:rPr>
              <w:t>Szubsk Duży</w:t>
            </w:r>
          </w:p>
        </w:tc>
        <w:tc>
          <w:tcPr>
            <w:tcW w:w="1842" w:type="dxa"/>
            <w:vAlign w:val="center"/>
          </w:tcPr>
          <w:p w14:paraId="37A4BCDF" w14:textId="63189974" w:rsidR="00853FE2" w:rsidRPr="002F4485" w:rsidRDefault="00853FE2" w:rsidP="00853FE2">
            <w:pPr>
              <w:rPr>
                <w:rFonts w:asciiTheme="minorHAnsi" w:hAnsiTheme="minorHAnsi" w:cstheme="minorHAnsi"/>
              </w:rPr>
            </w:pPr>
            <w:r>
              <w:rPr>
                <w:rFonts w:cs="Calibri"/>
                <w:color w:val="000000"/>
              </w:rPr>
              <w:t>126</w:t>
            </w:r>
          </w:p>
        </w:tc>
      </w:tr>
      <w:tr w:rsidR="00853FE2" w:rsidRPr="002F4485" w14:paraId="046244CD" w14:textId="77777777" w:rsidTr="00853FE2">
        <w:tc>
          <w:tcPr>
            <w:tcW w:w="562" w:type="dxa"/>
            <w:vAlign w:val="center"/>
          </w:tcPr>
          <w:p w14:paraId="6D687F28" w14:textId="0BD55849" w:rsidR="00853FE2" w:rsidRPr="002F4485" w:rsidRDefault="00853FE2" w:rsidP="00853FE2">
            <w:pPr>
              <w:rPr>
                <w:rFonts w:asciiTheme="minorHAnsi" w:hAnsiTheme="minorHAnsi" w:cstheme="minorHAnsi"/>
              </w:rPr>
            </w:pPr>
            <w:r>
              <w:rPr>
                <w:rFonts w:asciiTheme="minorHAnsi" w:hAnsiTheme="minorHAnsi" w:cstheme="minorHAnsi"/>
              </w:rPr>
              <w:t>21.</w:t>
            </w:r>
          </w:p>
        </w:tc>
        <w:tc>
          <w:tcPr>
            <w:tcW w:w="2552" w:type="dxa"/>
            <w:vAlign w:val="center"/>
          </w:tcPr>
          <w:p w14:paraId="5CE31272" w14:textId="2A55AF53" w:rsidR="00853FE2" w:rsidRPr="002F4485" w:rsidRDefault="00853FE2" w:rsidP="00853FE2">
            <w:pPr>
              <w:rPr>
                <w:rFonts w:asciiTheme="minorHAnsi" w:hAnsiTheme="minorHAnsi" w:cstheme="minorHAnsi"/>
              </w:rPr>
            </w:pPr>
            <w:r>
              <w:rPr>
                <w:rFonts w:cs="Calibri"/>
                <w:color w:val="000000"/>
              </w:rPr>
              <w:t>Sołectwo Szubsk Towarzystwo</w:t>
            </w:r>
          </w:p>
        </w:tc>
        <w:tc>
          <w:tcPr>
            <w:tcW w:w="4536" w:type="dxa"/>
            <w:vAlign w:val="center"/>
          </w:tcPr>
          <w:p w14:paraId="69ADBB66" w14:textId="3F4D5B23" w:rsidR="00853FE2" w:rsidRPr="00F87D93" w:rsidRDefault="00853FE2" w:rsidP="00853FE2">
            <w:pPr>
              <w:rPr>
                <w:rFonts w:asciiTheme="minorHAnsi" w:hAnsiTheme="minorHAnsi" w:cstheme="minorHAnsi"/>
              </w:rPr>
            </w:pPr>
            <w:r w:rsidRPr="00F87D93">
              <w:rPr>
                <w:rFonts w:asciiTheme="minorHAnsi" w:hAnsiTheme="minorHAnsi" w:cstheme="minorHAnsi"/>
              </w:rPr>
              <w:t>Szubsk-Towarzystwo</w:t>
            </w:r>
          </w:p>
          <w:p w14:paraId="0E47956E" w14:textId="573E4C97" w:rsidR="00853FE2" w:rsidRPr="00A71F59" w:rsidRDefault="00853FE2" w:rsidP="00853FE2">
            <w:pPr>
              <w:rPr>
                <w:rFonts w:asciiTheme="minorHAnsi" w:hAnsiTheme="minorHAnsi" w:cstheme="minorHAnsi"/>
              </w:rPr>
            </w:pPr>
            <w:r w:rsidRPr="00F87D93">
              <w:rPr>
                <w:rFonts w:asciiTheme="minorHAnsi" w:hAnsiTheme="minorHAnsi" w:cstheme="minorHAnsi"/>
              </w:rPr>
              <w:t>Cygany</w:t>
            </w:r>
          </w:p>
        </w:tc>
        <w:tc>
          <w:tcPr>
            <w:tcW w:w="1842" w:type="dxa"/>
            <w:vAlign w:val="center"/>
          </w:tcPr>
          <w:p w14:paraId="6B3C53A8" w14:textId="41C3CF8E" w:rsidR="00853FE2" w:rsidRPr="002F4485" w:rsidRDefault="00853FE2" w:rsidP="00853FE2">
            <w:pPr>
              <w:rPr>
                <w:rFonts w:asciiTheme="minorHAnsi" w:hAnsiTheme="minorHAnsi" w:cstheme="minorHAnsi"/>
              </w:rPr>
            </w:pPr>
            <w:r>
              <w:rPr>
                <w:rFonts w:cs="Calibri"/>
                <w:color w:val="000000"/>
              </w:rPr>
              <w:t>58</w:t>
            </w:r>
          </w:p>
        </w:tc>
      </w:tr>
      <w:tr w:rsidR="00853FE2" w:rsidRPr="002F4485" w14:paraId="635F0131" w14:textId="77777777" w:rsidTr="00853FE2">
        <w:tc>
          <w:tcPr>
            <w:tcW w:w="562" w:type="dxa"/>
            <w:vAlign w:val="center"/>
          </w:tcPr>
          <w:p w14:paraId="48F62E2F" w14:textId="1A456825" w:rsidR="00853FE2" w:rsidRPr="002F4485" w:rsidRDefault="00853FE2" w:rsidP="00853FE2">
            <w:pPr>
              <w:rPr>
                <w:rFonts w:asciiTheme="minorHAnsi" w:hAnsiTheme="minorHAnsi" w:cstheme="minorHAnsi"/>
              </w:rPr>
            </w:pPr>
            <w:r>
              <w:rPr>
                <w:rFonts w:asciiTheme="minorHAnsi" w:hAnsiTheme="minorHAnsi" w:cstheme="minorHAnsi"/>
              </w:rPr>
              <w:t>22.</w:t>
            </w:r>
          </w:p>
        </w:tc>
        <w:tc>
          <w:tcPr>
            <w:tcW w:w="2552" w:type="dxa"/>
            <w:vAlign w:val="center"/>
          </w:tcPr>
          <w:p w14:paraId="2756A661" w14:textId="3433D786" w:rsidR="00853FE2" w:rsidRPr="002F4485" w:rsidRDefault="00853FE2" w:rsidP="00853FE2">
            <w:pPr>
              <w:rPr>
                <w:rFonts w:asciiTheme="minorHAnsi" w:hAnsiTheme="minorHAnsi" w:cstheme="minorHAnsi"/>
              </w:rPr>
            </w:pPr>
            <w:r>
              <w:rPr>
                <w:rFonts w:cs="Calibri"/>
                <w:color w:val="000000"/>
              </w:rPr>
              <w:t>Sołectwo Teresin</w:t>
            </w:r>
          </w:p>
        </w:tc>
        <w:tc>
          <w:tcPr>
            <w:tcW w:w="4536" w:type="dxa"/>
            <w:vAlign w:val="center"/>
          </w:tcPr>
          <w:p w14:paraId="2B55EA25" w14:textId="6F12467A" w:rsidR="00853FE2" w:rsidRDefault="00853FE2" w:rsidP="00853FE2">
            <w:pPr>
              <w:rPr>
                <w:rFonts w:asciiTheme="minorHAnsi" w:hAnsiTheme="minorHAnsi" w:cstheme="minorHAnsi"/>
              </w:rPr>
            </w:pPr>
            <w:r w:rsidRPr="00F87D93">
              <w:rPr>
                <w:rFonts w:asciiTheme="minorHAnsi" w:hAnsiTheme="minorHAnsi" w:cstheme="minorHAnsi"/>
              </w:rPr>
              <w:t>Teresin</w:t>
            </w:r>
          </w:p>
          <w:p w14:paraId="1344875C" w14:textId="0640AF7F" w:rsidR="00853FE2" w:rsidRPr="00F87D93" w:rsidRDefault="00853FE2" w:rsidP="00853FE2">
            <w:pPr>
              <w:rPr>
                <w:rFonts w:asciiTheme="minorHAnsi" w:hAnsiTheme="minorHAnsi" w:cstheme="minorHAnsi"/>
              </w:rPr>
            </w:pPr>
            <w:r w:rsidRPr="00F87D93">
              <w:rPr>
                <w:rFonts w:asciiTheme="minorHAnsi" w:hAnsiTheme="minorHAnsi" w:cstheme="minorHAnsi"/>
              </w:rPr>
              <w:t>Bardzinek</w:t>
            </w:r>
          </w:p>
          <w:p w14:paraId="47098487" w14:textId="692FAEC3" w:rsidR="00853FE2" w:rsidRPr="00F87D93" w:rsidRDefault="00853FE2" w:rsidP="00853FE2">
            <w:pPr>
              <w:rPr>
                <w:rFonts w:asciiTheme="minorHAnsi" w:hAnsiTheme="minorHAnsi" w:cstheme="minorHAnsi"/>
              </w:rPr>
            </w:pPr>
            <w:r w:rsidRPr="00F87D93">
              <w:rPr>
                <w:rFonts w:asciiTheme="minorHAnsi" w:hAnsiTheme="minorHAnsi" w:cstheme="minorHAnsi"/>
              </w:rPr>
              <w:lastRenderedPageBreak/>
              <w:t>Głaznów</w:t>
            </w:r>
          </w:p>
          <w:p w14:paraId="4239A0E5" w14:textId="56A1AE9F" w:rsidR="00853FE2" w:rsidRPr="00A71F59" w:rsidRDefault="00853FE2" w:rsidP="00853FE2">
            <w:pPr>
              <w:rPr>
                <w:rFonts w:asciiTheme="minorHAnsi" w:hAnsiTheme="minorHAnsi" w:cstheme="minorHAnsi"/>
              </w:rPr>
            </w:pPr>
            <w:r w:rsidRPr="00F87D93">
              <w:rPr>
                <w:rFonts w:asciiTheme="minorHAnsi" w:hAnsiTheme="minorHAnsi" w:cstheme="minorHAnsi"/>
              </w:rPr>
              <w:t>Pniewko</w:t>
            </w:r>
          </w:p>
        </w:tc>
        <w:tc>
          <w:tcPr>
            <w:tcW w:w="1842" w:type="dxa"/>
            <w:vAlign w:val="center"/>
          </w:tcPr>
          <w:p w14:paraId="37DE39DF" w14:textId="0FFE6151" w:rsidR="00853FE2" w:rsidRPr="002F4485" w:rsidRDefault="00853FE2" w:rsidP="00853FE2">
            <w:pPr>
              <w:rPr>
                <w:rFonts w:asciiTheme="minorHAnsi" w:hAnsiTheme="minorHAnsi" w:cstheme="minorHAnsi"/>
              </w:rPr>
            </w:pPr>
            <w:r>
              <w:rPr>
                <w:rFonts w:cs="Calibri"/>
                <w:color w:val="000000"/>
              </w:rPr>
              <w:lastRenderedPageBreak/>
              <w:t>194</w:t>
            </w:r>
          </w:p>
        </w:tc>
      </w:tr>
      <w:tr w:rsidR="00853FE2" w:rsidRPr="002F4485" w14:paraId="7F16F8A7" w14:textId="77777777" w:rsidTr="00853FE2">
        <w:tc>
          <w:tcPr>
            <w:tcW w:w="562" w:type="dxa"/>
            <w:vAlign w:val="center"/>
          </w:tcPr>
          <w:p w14:paraId="4EBDA531" w14:textId="124026BB" w:rsidR="00853FE2" w:rsidRPr="002F4485" w:rsidRDefault="00853FE2" w:rsidP="00853FE2">
            <w:pPr>
              <w:rPr>
                <w:rFonts w:asciiTheme="minorHAnsi" w:hAnsiTheme="minorHAnsi" w:cstheme="minorHAnsi"/>
              </w:rPr>
            </w:pPr>
            <w:r>
              <w:rPr>
                <w:rFonts w:asciiTheme="minorHAnsi" w:hAnsiTheme="minorHAnsi" w:cstheme="minorHAnsi"/>
              </w:rPr>
              <w:t>23.</w:t>
            </w:r>
          </w:p>
        </w:tc>
        <w:tc>
          <w:tcPr>
            <w:tcW w:w="2552" w:type="dxa"/>
            <w:vAlign w:val="center"/>
          </w:tcPr>
          <w:p w14:paraId="5C773452" w14:textId="43DFF763" w:rsidR="00853FE2" w:rsidRPr="002F4485" w:rsidRDefault="00853FE2" w:rsidP="00853FE2">
            <w:pPr>
              <w:rPr>
                <w:rFonts w:asciiTheme="minorHAnsi" w:hAnsiTheme="minorHAnsi" w:cstheme="minorHAnsi"/>
              </w:rPr>
            </w:pPr>
            <w:r>
              <w:rPr>
                <w:rFonts w:cs="Calibri"/>
                <w:color w:val="000000"/>
              </w:rPr>
              <w:t>Sołectwo Witów</w:t>
            </w:r>
          </w:p>
        </w:tc>
        <w:tc>
          <w:tcPr>
            <w:tcW w:w="4536" w:type="dxa"/>
            <w:vAlign w:val="center"/>
          </w:tcPr>
          <w:p w14:paraId="641F20BA" w14:textId="551D4673" w:rsidR="00853FE2" w:rsidRPr="00A71F59" w:rsidRDefault="00853FE2" w:rsidP="00853FE2">
            <w:pPr>
              <w:rPr>
                <w:rFonts w:asciiTheme="minorHAnsi" w:hAnsiTheme="minorHAnsi" w:cstheme="minorHAnsi"/>
              </w:rPr>
            </w:pPr>
            <w:r w:rsidRPr="00F87D93">
              <w:rPr>
                <w:rFonts w:asciiTheme="minorHAnsi" w:hAnsiTheme="minorHAnsi" w:cstheme="minorHAnsi"/>
              </w:rPr>
              <w:t>Witów</w:t>
            </w:r>
          </w:p>
        </w:tc>
        <w:tc>
          <w:tcPr>
            <w:tcW w:w="1842" w:type="dxa"/>
            <w:vAlign w:val="center"/>
          </w:tcPr>
          <w:p w14:paraId="193771D7" w14:textId="2CE81507" w:rsidR="00853FE2" w:rsidRPr="002F4485" w:rsidRDefault="00853FE2" w:rsidP="00853FE2">
            <w:pPr>
              <w:rPr>
                <w:rFonts w:asciiTheme="minorHAnsi" w:hAnsiTheme="minorHAnsi" w:cstheme="minorHAnsi"/>
              </w:rPr>
            </w:pPr>
            <w:r>
              <w:rPr>
                <w:rFonts w:cs="Calibri"/>
                <w:color w:val="000000"/>
              </w:rPr>
              <w:t>132</w:t>
            </w:r>
          </w:p>
        </w:tc>
      </w:tr>
      <w:tr w:rsidR="00853FE2" w:rsidRPr="002F4485" w14:paraId="7A26160D" w14:textId="77777777" w:rsidTr="00853FE2">
        <w:tc>
          <w:tcPr>
            <w:tcW w:w="562" w:type="dxa"/>
            <w:vAlign w:val="center"/>
          </w:tcPr>
          <w:p w14:paraId="2F4E1DAC" w14:textId="5132CADD" w:rsidR="00853FE2" w:rsidRPr="002F4485" w:rsidRDefault="00853FE2" w:rsidP="00853FE2">
            <w:pPr>
              <w:rPr>
                <w:rFonts w:asciiTheme="minorHAnsi" w:hAnsiTheme="minorHAnsi" w:cstheme="minorHAnsi"/>
              </w:rPr>
            </w:pPr>
            <w:r>
              <w:rPr>
                <w:rFonts w:asciiTheme="minorHAnsi" w:hAnsiTheme="minorHAnsi" w:cstheme="minorHAnsi"/>
              </w:rPr>
              <w:t>24.</w:t>
            </w:r>
          </w:p>
        </w:tc>
        <w:tc>
          <w:tcPr>
            <w:tcW w:w="2552" w:type="dxa"/>
            <w:vAlign w:val="center"/>
          </w:tcPr>
          <w:p w14:paraId="62D524D3" w14:textId="0222644A" w:rsidR="00853FE2" w:rsidRPr="002F4485" w:rsidRDefault="00853FE2" w:rsidP="00853FE2">
            <w:pPr>
              <w:rPr>
                <w:rFonts w:asciiTheme="minorHAnsi" w:hAnsiTheme="minorHAnsi" w:cstheme="minorHAnsi"/>
              </w:rPr>
            </w:pPr>
            <w:r>
              <w:rPr>
                <w:rFonts w:cs="Calibri"/>
                <w:color w:val="000000"/>
              </w:rPr>
              <w:t>Sołectwo Wola Nowska</w:t>
            </w:r>
          </w:p>
        </w:tc>
        <w:tc>
          <w:tcPr>
            <w:tcW w:w="4536" w:type="dxa"/>
            <w:vAlign w:val="center"/>
          </w:tcPr>
          <w:p w14:paraId="25F2AE96" w14:textId="1CB1E673" w:rsidR="00853FE2" w:rsidRPr="00A71F59" w:rsidRDefault="00853FE2" w:rsidP="00853FE2">
            <w:pPr>
              <w:rPr>
                <w:rFonts w:asciiTheme="minorHAnsi" w:hAnsiTheme="minorHAnsi" w:cstheme="minorHAnsi"/>
              </w:rPr>
            </w:pPr>
            <w:r w:rsidRPr="00F87D93">
              <w:rPr>
                <w:rFonts w:asciiTheme="minorHAnsi" w:hAnsiTheme="minorHAnsi" w:cstheme="minorHAnsi"/>
              </w:rPr>
              <w:t>Wola Nowska</w:t>
            </w:r>
          </w:p>
        </w:tc>
        <w:tc>
          <w:tcPr>
            <w:tcW w:w="1842" w:type="dxa"/>
            <w:vAlign w:val="center"/>
          </w:tcPr>
          <w:p w14:paraId="6A20749A" w14:textId="5E7B74A6" w:rsidR="00853FE2" w:rsidRPr="002F4485" w:rsidRDefault="00853FE2" w:rsidP="00853FE2">
            <w:pPr>
              <w:rPr>
                <w:rFonts w:asciiTheme="minorHAnsi" w:hAnsiTheme="minorHAnsi" w:cstheme="minorHAnsi"/>
              </w:rPr>
            </w:pPr>
            <w:r>
              <w:rPr>
                <w:rFonts w:cs="Calibri"/>
                <w:color w:val="000000"/>
              </w:rPr>
              <w:t>174</w:t>
            </w:r>
          </w:p>
        </w:tc>
      </w:tr>
      <w:tr w:rsidR="00853FE2" w:rsidRPr="002F4485" w14:paraId="29593DF5" w14:textId="77777777" w:rsidTr="00853FE2">
        <w:tc>
          <w:tcPr>
            <w:tcW w:w="562" w:type="dxa"/>
            <w:vAlign w:val="center"/>
          </w:tcPr>
          <w:p w14:paraId="2228F652" w14:textId="6D4BD8B0" w:rsidR="00853FE2" w:rsidRPr="002F4485" w:rsidRDefault="00853FE2" w:rsidP="00853FE2">
            <w:pPr>
              <w:rPr>
                <w:rFonts w:asciiTheme="minorHAnsi" w:hAnsiTheme="minorHAnsi" w:cstheme="minorHAnsi"/>
              </w:rPr>
            </w:pPr>
            <w:r>
              <w:rPr>
                <w:rFonts w:asciiTheme="minorHAnsi" w:hAnsiTheme="minorHAnsi" w:cstheme="minorHAnsi"/>
              </w:rPr>
              <w:t>25.</w:t>
            </w:r>
          </w:p>
        </w:tc>
        <w:tc>
          <w:tcPr>
            <w:tcW w:w="2552" w:type="dxa"/>
            <w:vAlign w:val="center"/>
          </w:tcPr>
          <w:p w14:paraId="187E7C89" w14:textId="7C6E1DC1" w:rsidR="00853FE2" w:rsidRPr="002F4485" w:rsidRDefault="00853FE2" w:rsidP="00853FE2">
            <w:pPr>
              <w:rPr>
                <w:rFonts w:asciiTheme="minorHAnsi" w:hAnsiTheme="minorHAnsi" w:cstheme="minorHAnsi"/>
              </w:rPr>
            </w:pPr>
            <w:r>
              <w:rPr>
                <w:rFonts w:cs="Calibri"/>
                <w:color w:val="000000"/>
              </w:rPr>
              <w:t>Sołectwo Wychny</w:t>
            </w:r>
          </w:p>
        </w:tc>
        <w:tc>
          <w:tcPr>
            <w:tcW w:w="4536" w:type="dxa"/>
            <w:vAlign w:val="center"/>
          </w:tcPr>
          <w:p w14:paraId="152B1E8F" w14:textId="5FCC2E32" w:rsidR="00853FE2" w:rsidRPr="00F87D93" w:rsidRDefault="00853FE2" w:rsidP="00853FE2">
            <w:pPr>
              <w:rPr>
                <w:rFonts w:asciiTheme="minorHAnsi" w:hAnsiTheme="minorHAnsi" w:cstheme="minorHAnsi"/>
              </w:rPr>
            </w:pPr>
            <w:r w:rsidRPr="00F87D93">
              <w:rPr>
                <w:rFonts w:asciiTheme="minorHAnsi" w:hAnsiTheme="minorHAnsi" w:cstheme="minorHAnsi"/>
              </w:rPr>
              <w:t>Wychny</w:t>
            </w:r>
          </w:p>
          <w:p w14:paraId="323FFEF6" w14:textId="4147E5B0" w:rsidR="00853FE2" w:rsidRPr="00F87D93" w:rsidRDefault="00853FE2" w:rsidP="00853FE2">
            <w:pPr>
              <w:rPr>
                <w:rFonts w:asciiTheme="minorHAnsi" w:hAnsiTheme="minorHAnsi" w:cstheme="minorHAnsi"/>
              </w:rPr>
            </w:pPr>
            <w:r w:rsidRPr="00F87D93">
              <w:rPr>
                <w:rFonts w:asciiTheme="minorHAnsi" w:hAnsiTheme="minorHAnsi" w:cstheme="minorHAnsi"/>
              </w:rPr>
              <w:t>Kopyta</w:t>
            </w:r>
          </w:p>
          <w:p w14:paraId="477C57F4" w14:textId="785C08E1" w:rsidR="00853FE2" w:rsidRPr="00A71F59" w:rsidRDefault="00853FE2" w:rsidP="00853FE2">
            <w:pPr>
              <w:rPr>
                <w:rFonts w:asciiTheme="minorHAnsi" w:hAnsiTheme="minorHAnsi" w:cstheme="minorHAnsi"/>
              </w:rPr>
            </w:pPr>
            <w:r w:rsidRPr="00F87D93">
              <w:rPr>
                <w:rFonts w:asciiTheme="minorHAnsi" w:hAnsiTheme="minorHAnsi" w:cstheme="minorHAnsi"/>
              </w:rPr>
              <w:t>Nowe Jankowice</w:t>
            </w:r>
          </w:p>
        </w:tc>
        <w:tc>
          <w:tcPr>
            <w:tcW w:w="1842" w:type="dxa"/>
            <w:vAlign w:val="center"/>
          </w:tcPr>
          <w:p w14:paraId="084710B9" w14:textId="4136EC9B" w:rsidR="00853FE2" w:rsidRPr="002F4485" w:rsidRDefault="00853FE2" w:rsidP="00853FE2">
            <w:pPr>
              <w:rPr>
                <w:rFonts w:asciiTheme="minorHAnsi" w:hAnsiTheme="minorHAnsi" w:cstheme="minorHAnsi"/>
              </w:rPr>
            </w:pPr>
            <w:r>
              <w:rPr>
                <w:rFonts w:cs="Calibri"/>
                <w:color w:val="000000"/>
              </w:rPr>
              <w:t>104</w:t>
            </w:r>
          </w:p>
        </w:tc>
      </w:tr>
      <w:tr w:rsidR="00853FE2" w:rsidRPr="002F4485" w14:paraId="2A46186D" w14:textId="77777777" w:rsidTr="00853FE2">
        <w:tc>
          <w:tcPr>
            <w:tcW w:w="562" w:type="dxa"/>
            <w:vAlign w:val="center"/>
          </w:tcPr>
          <w:p w14:paraId="5FAAB50C" w14:textId="4AE47B88" w:rsidR="00853FE2" w:rsidRPr="002F4485" w:rsidRDefault="00853FE2" w:rsidP="00853FE2">
            <w:pPr>
              <w:rPr>
                <w:rFonts w:asciiTheme="minorHAnsi" w:hAnsiTheme="minorHAnsi" w:cstheme="minorHAnsi"/>
              </w:rPr>
            </w:pPr>
            <w:r>
              <w:rPr>
                <w:rFonts w:asciiTheme="minorHAnsi" w:hAnsiTheme="minorHAnsi" w:cstheme="minorHAnsi"/>
              </w:rPr>
              <w:t>26.</w:t>
            </w:r>
          </w:p>
        </w:tc>
        <w:tc>
          <w:tcPr>
            <w:tcW w:w="2552" w:type="dxa"/>
            <w:vAlign w:val="center"/>
          </w:tcPr>
          <w:p w14:paraId="32F06D6B" w14:textId="27788222" w:rsidR="00853FE2" w:rsidRPr="002F4485" w:rsidRDefault="00853FE2" w:rsidP="00853FE2">
            <w:pPr>
              <w:rPr>
                <w:rFonts w:asciiTheme="minorHAnsi" w:hAnsiTheme="minorHAnsi" w:cstheme="minorHAnsi"/>
              </w:rPr>
            </w:pPr>
            <w:r>
              <w:rPr>
                <w:rFonts w:cs="Calibri"/>
                <w:color w:val="000000"/>
              </w:rPr>
              <w:t>Sołectwo Wymysłów</w:t>
            </w:r>
          </w:p>
        </w:tc>
        <w:tc>
          <w:tcPr>
            <w:tcW w:w="4536" w:type="dxa"/>
            <w:vAlign w:val="center"/>
          </w:tcPr>
          <w:p w14:paraId="4CA27677" w14:textId="6105C47D" w:rsidR="00853FE2" w:rsidRPr="00A71F59" w:rsidRDefault="00853FE2" w:rsidP="00853FE2">
            <w:pPr>
              <w:rPr>
                <w:rFonts w:asciiTheme="minorHAnsi" w:hAnsiTheme="minorHAnsi" w:cstheme="minorHAnsi"/>
              </w:rPr>
            </w:pPr>
            <w:r w:rsidRPr="00F87D93">
              <w:rPr>
                <w:rFonts w:asciiTheme="minorHAnsi" w:hAnsiTheme="minorHAnsi" w:cstheme="minorHAnsi"/>
              </w:rPr>
              <w:t>Wymysłów</w:t>
            </w:r>
          </w:p>
        </w:tc>
        <w:tc>
          <w:tcPr>
            <w:tcW w:w="1842" w:type="dxa"/>
            <w:vAlign w:val="center"/>
          </w:tcPr>
          <w:p w14:paraId="0FA78FD8" w14:textId="731FCA27" w:rsidR="00853FE2" w:rsidRPr="002F4485" w:rsidRDefault="00853FE2" w:rsidP="00853FE2">
            <w:pPr>
              <w:rPr>
                <w:rFonts w:asciiTheme="minorHAnsi" w:hAnsiTheme="minorHAnsi" w:cstheme="minorHAnsi"/>
              </w:rPr>
            </w:pPr>
            <w:r>
              <w:rPr>
                <w:rFonts w:cs="Calibri"/>
                <w:color w:val="000000"/>
              </w:rPr>
              <w:t>183</w:t>
            </w:r>
          </w:p>
        </w:tc>
      </w:tr>
      <w:tr w:rsidR="00853FE2" w:rsidRPr="002F4485" w14:paraId="422834B8" w14:textId="77777777" w:rsidTr="00853FE2">
        <w:tc>
          <w:tcPr>
            <w:tcW w:w="562" w:type="dxa"/>
            <w:vAlign w:val="center"/>
          </w:tcPr>
          <w:p w14:paraId="5E23E7F6" w14:textId="40F91E3F" w:rsidR="00853FE2" w:rsidRPr="002F4485" w:rsidRDefault="00853FE2" w:rsidP="00853FE2">
            <w:pPr>
              <w:rPr>
                <w:rFonts w:asciiTheme="minorHAnsi" w:hAnsiTheme="minorHAnsi" w:cstheme="minorHAnsi"/>
              </w:rPr>
            </w:pPr>
            <w:r>
              <w:rPr>
                <w:rFonts w:asciiTheme="minorHAnsi" w:hAnsiTheme="minorHAnsi" w:cstheme="minorHAnsi"/>
              </w:rPr>
              <w:t>27.</w:t>
            </w:r>
          </w:p>
        </w:tc>
        <w:tc>
          <w:tcPr>
            <w:tcW w:w="2552" w:type="dxa"/>
            <w:vAlign w:val="center"/>
          </w:tcPr>
          <w:p w14:paraId="2286A475" w14:textId="5525170F" w:rsidR="00853FE2" w:rsidRPr="002F4485" w:rsidRDefault="00853FE2" w:rsidP="00853FE2">
            <w:pPr>
              <w:rPr>
                <w:rFonts w:asciiTheme="minorHAnsi" w:hAnsiTheme="minorHAnsi" w:cstheme="minorHAnsi"/>
              </w:rPr>
            </w:pPr>
            <w:r>
              <w:rPr>
                <w:rFonts w:cs="Calibri"/>
                <w:color w:val="000000"/>
              </w:rPr>
              <w:t>Sołectwo Zalesie</w:t>
            </w:r>
          </w:p>
        </w:tc>
        <w:tc>
          <w:tcPr>
            <w:tcW w:w="4536" w:type="dxa"/>
            <w:vAlign w:val="center"/>
          </w:tcPr>
          <w:p w14:paraId="1114BFB9" w14:textId="547232D0" w:rsidR="00853FE2" w:rsidRPr="00F87D93" w:rsidRDefault="00853FE2" w:rsidP="00853FE2">
            <w:pPr>
              <w:rPr>
                <w:rFonts w:asciiTheme="minorHAnsi" w:hAnsiTheme="minorHAnsi" w:cstheme="minorHAnsi"/>
              </w:rPr>
            </w:pPr>
            <w:r w:rsidRPr="00F87D93">
              <w:rPr>
                <w:rFonts w:asciiTheme="minorHAnsi" w:hAnsiTheme="minorHAnsi" w:cstheme="minorHAnsi"/>
              </w:rPr>
              <w:t>Zalesie</w:t>
            </w:r>
          </w:p>
          <w:p w14:paraId="640BDA78" w14:textId="70E0AC41" w:rsidR="00853FE2" w:rsidRPr="00F87D93" w:rsidRDefault="00853FE2" w:rsidP="00853FE2">
            <w:pPr>
              <w:rPr>
                <w:rFonts w:asciiTheme="minorHAnsi" w:hAnsiTheme="minorHAnsi" w:cstheme="minorHAnsi"/>
              </w:rPr>
            </w:pPr>
            <w:r w:rsidRPr="00F87D93">
              <w:rPr>
                <w:rFonts w:asciiTheme="minorHAnsi" w:hAnsiTheme="minorHAnsi" w:cstheme="minorHAnsi"/>
              </w:rPr>
              <w:t>Miłosna</w:t>
            </w:r>
          </w:p>
          <w:p w14:paraId="225FD90C" w14:textId="25501F24" w:rsidR="00853FE2" w:rsidRPr="00A71F59" w:rsidRDefault="00853FE2" w:rsidP="00853FE2">
            <w:pPr>
              <w:rPr>
                <w:rFonts w:asciiTheme="minorHAnsi" w:hAnsiTheme="minorHAnsi" w:cstheme="minorHAnsi"/>
              </w:rPr>
            </w:pPr>
            <w:r w:rsidRPr="00F87D93">
              <w:rPr>
                <w:rFonts w:asciiTheme="minorHAnsi" w:hAnsiTheme="minorHAnsi" w:cstheme="minorHAnsi"/>
              </w:rPr>
              <w:t>Marynin</w:t>
            </w:r>
          </w:p>
        </w:tc>
        <w:tc>
          <w:tcPr>
            <w:tcW w:w="1842" w:type="dxa"/>
            <w:vAlign w:val="center"/>
          </w:tcPr>
          <w:p w14:paraId="52167235" w14:textId="259B1DD3" w:rsidR="00853FE2" w:rsidRPr="002F4485" w:rsidRDefault="00853FE2" w:rsidP="00853FE2">
            <w:pPr>
              <w:rPr>
                <w:rFonts w:asciiTheme="minorHAnsi" w:hAnsiTheme="minorHAnsi" w:cstheme="minorHAnsi"/>
              </w:rPr>
            </w:pPr>
            <w:r>
              <w:rPr>
                <w:rFonts w:cs="Calibri"/>
                <w:color w:val="000000"/>
              </w:rPr>
              <w:t>179</w:t>
            </w:r>
          </w:p>
        </w:tc>
      </w:tr>
      <w:tr w:rsidR="00853FE2" w:rsidRPr="002F4485" w14:paraId="67E36DB0" w14:textId="77777777" w:rsidTr="00853FE2">
        <w:tc>
          <w:tcPr>
            <w:tcW w:w="562" w:type="dxa"/>
            <w:vAlign w:val="center"/>
          </w:tcPr>
          <w:p w14:paraId="1B7B4C0A" w14:textId="55B2B264" w:rsidR="00853FE2" w:rsidRPr="002F4485" w:rsidRDefault="00853FE2" w:rsidP="00853FE2">
            <w:pPr>
              <w:rPr>
                <w:rFonts w:asciiTheme="minorHAnsi" w:hAnsiTheme="minorHAnsi" w:cstheme="minorHAnsi"/>
              </w:rPr>
            </w:pPr>
            <w:r>
              <w:rPr>
                <w:rFonts w:asciiTheme="minorHAnsi" w:hAnsiTheme="minorHAnsi" w:cstheme="minorHAnsi"/>
              </w:rPr>
              <w:t>28.</w:t>
            </w:r>
          </w:p>
        </w:tc>
        <w:tc>
          <w:tcPr>
            <w:tcW w:w="2552" w:type="dxa"/>
            <w:vAlign w:val="center"/>
          </w:tcPr>
          <w:p w14:paraId="6420E343" w14:textId="0AF289F2" w:rsidR="00853FE2" w:rsidRPr="002F4485" w:rsidRDefault="00853FE2" w:rsidP="00853FE2">
            <w:pPr>
              <w:rPr>
                <w:rFonts w:asciiTheme="minorHAnsi" w:hAnsiTheme="minorHAnsi" w:cstheme="minorHAnsi"/>
              </w:rPr>
            </w:pPr>
            <w:r>
              <w:rPr>
                <w:rFonts w:cs="Calibri"/>
                <w:color w:val="000000"/>
              </w:rPr>
              <w:t>Sołectwo Zieleniew</w:t>
            </w:r>
          </w:p>
        </w:tc>
        <w:tc>
          <w:tcPr>
            <w:tcW w:w="4536" w:type="dxa"/>
            <w:vAlign w:val="center"/>
          </w:tcPr>
          <w:p w14:paraId="5CBB740E" w14:textId="372F444E" w:rsidR="00853FE2" w:rsidRPr="00A71F59" w:rsidRDefault="00853FE2" w:rsidP="00853FE2">
            <w:pPr>
              <w:rPr>
                <w:rFonts w:asciiTheme="minorHAnsi" w:hAnsiTheme="minorHAnsi" w:cstheme="minorHAnsi"/>
              </w:rPr>
            </w:pPr>
            <w:r w:rsidRPr="00F87D93">
              <w:rPr>
                <w:rFonts w:asciiTheme="minorHAnsi" w:hAnsiTheme="minorHAnsi" w:cstheme="minorHAnsi"/>
              </w:rPr>
              <w:t>Zieleniew</w:t>
            </w:r>
          </w:p>
        </w:tc>
        <w:tc>
          <w:tcPr>
            <w:tcW w:w="1842" w:type="dxa"/>
            <w:vAlign w:val="center"/>
          </w:tcPr>
          <w:p w14:paraId="1E601A73" w14:textId="4AD3F19B" w:rsidR="00853FE2" w:rsidRPr="002F4485" w:rsidRDefault="00853FE2" w:rsidP="00853FE2">
            <w:pPr>
              <w:rPr>
                <w:rFonts w:asciiTheme="minorHAnsi" w:hAnsiTheme="minorHAnsi" w:cstheme="minorHAnsi"/>
              </w:rPr>
            </w:pPr>
            <w:r>
              <w:rPr>
                <w:rFonts w:cs="Calibri"/>
                <w:color w:val="000000"/>
              </w:rPr>
              <w:t>67</w:t>
            </w:r>
          </w:p>
        </w:tc>
      </w:tr>
    </w:tbl>
    <w:bookmarkEnd w:id="73"/>
    <w:p w14:paraId="089931F9" w14:textId="43025A88" w:rsidR="002F4485" w:rsidRPr="00CA3284" w:rsidRDefault="00CA3284" w:rsidP="00471510">
      <w:pPr>
        <w:spacing w:before="120" w:after="0" w:line="264" w:lineRule="auto"/>
        <w:rPr>
          <w:sz w:val="24"/>
          <w:szCs w:val="24"/>
        </w:rPr>
      </w:pPr>
      <w:r w:rsidRPr="00CA3284">
        <w:rPr>
          <w:sz w:val="24"/>
          <w:szCs w:val="24"/>
        </w:rPr>
        <w:t xml:space="preserve">Źródło: opracowanie własne </w:t>
      </w:r>
    </w:p>
    <w:p w14:paraId="34810C1D" w14:textId="77777777" w:rsidR="00471510" w:rsidRPr="00471510" w:rsidRDefault="00471510" w:rsidP="00471510">
      <w:pPr>
        <w:spacing w:before="120" w:after="0" w:line="264" w:lineRule="auto"/>
        <w:rPr>
          <w:sz w:val="24"/>
          <w:szCs w:val="24"/>
        </w:rPr>
      </w:pPr>
      <w:r w:rsidRPr="00471510">
        <w:rPr>
          <w:sz w:val="24"/>
          <w:szCs w:val="24"/>
        </w:rPr>
        <w:t xml:space="preserve">Położenie Krośniewic </w:t>
      </w:r>
      <w:r w:rsidRPr="007919C1">
        <w:rPr>
          <w:b/>
          <w:bCs/>
          <w:sz w:val="24"/>
          <w:szCs w:val="24"/>
        </w:rPr>
        <w:t>w niedalekiej odległości od siedziby województwa – Łodzi</w:t>
      </w:r>
      <w:r w:rsidRPr="00471510">
        <w:rPr>
          <w:sz w:val="24"/>
          <w:szCs w:val="24"/>
        </w:rPr>
        <w:t xml:space="preserve"> wiąże się z osiąganiem z tego tytułu korzyści, jak i powstawaniu pewnych utrudnień. Z jednej strony bliskie położenie Łodzi oddziałuje pozytywnie na Krośniewice, stanowiąc obszar dużego rynku zbytu towarów i usług, z drugiej strony Łódź jawi się przed – w szczególności młodymi – mieszkańcami Krośniewic jako ośrodek akademicki i kulturalny, dający znacznie większe możliwości rozwoju, kształcenia i rozrywki. Łódź jest często miejscem, do którego migrują młodzi i wykształceni krośniewiczanie.</w:t>
      </w:r>
    </w:p>
    <w:p w14:paraId="55BA87DB" w14:textId="73A75C9E" w:rsidR="00471510" w:rsidRPr="00471510" w:rsidRDefault="00471510" w:rsidP="00471510">
      <w:pPr>
        <w:spacing w:before="120" w:after="0" w:line="264" w:lineRule="auto"/>
        <w:rPr>
          <w:sz w:val="24"/>
          <w:szCs w:val="24"/>
        </w:rPr>
      </w:pPr>
      <w:r w:rsidRPr="00FE6DBE">
        <w:rPr>
          <w:sz w:val="24"/>
          <w:szCs w:val="24"/>
        </w:rPr>
        <w:t xml:space="preserve">Istotnym uwarunkowaniem rozwoju Gminy jest jej </w:t>
      </w:r>
      <w:r w:rsidRPr="00FE6DBE">
        <w:rPr>
          <w:b/>
          <w:bCs/>
          <w:sz w:val="24"/>
          <w:szCs w:val="24"/>
        </w:rPr>
        <w:t>położenie komunikacyjne</w:t>
      </w:r>
      <w:r w:rsidRPr="00FE6DBE">
        <w:rPr>
          <w:sz w:val="24"/>
          <w:szCs w:val="24"/>
        </w:rPr>
        <w:t>. Przez teren gminy przebiegają drogi krajowe nr 91 i 92, tworzące obwodnicę miasta, a także droga wojewódzka nr 581 oraz sieć dróg powiatowych i gminnych. Uzupełnieniem systemu transportowego są czynne linie kolejowe o znaczeniu regionalnym i ponadregionalnym, które wzmacniają dostępność komunikacyjną gminy oraz jej powiązania z większymi ośrodkami miejskimi, w szczególności Kutnem, Łodzią i Włocławkiem</w:t>
      </w:r>
      <w:r w:rsidRPr="00471510">
        <w:rPr>
          <w:sz w:val="24"/>
          <w:szCs w:val="24"/>
        </w:rPr>
        <w:t>. Uwarunkowania te stwarzają korzystne warunki dla rozwoju funkcji gospodarczych, logistycznych oraz inwestycyjnych.</w:t>
      </w:r>
    </w:p>
    <w:p w14:paraId="6FFAB5CC" w14:textId="77777777" w:rsidR="00471510" w:rsidRPr="00FE6DBE" w:rsidRDefault="00471510" w:rsidP="00471510">
      <w:pPr>
        <w:spacing w:before="120" w:after="0" w:line="264" w:lineRule="auto"/>
        <w:rPr>
          <w:sz w:val="24"/>
          <w:szCs w:val="24"/>
        </w:rPr>
      </w:pPr>
      <w:r w:rsidRPr="00FE6DBE">
        <w:rPr>
          <w:sz w:val="24"/>
          <w:szCs w:val="24"/>
        </w:rPr>
        <w:t xml:space="preserve">Z punktu widzenia struktury funkcjonalnej </w:t>
      </w:r>
      <w:r w:rsidRPr="001329B4">
        <w:rPr>
          <w:b/>
          <w:bCs/>
          <w:sz w:val="24"/>
          <w:szCs w:val="24"/>
        </w:rPr>
        <w:t>gmina ma charakter rolniczo-usługowy</w:t>
      </w:r>
      <w:r w:rsidRPr="00FE6DBE">
        <w:rPr>
          <w:sz w:val="24"/>
          <w:szCs w:val="24"/>
        </w:rPr>
        <w:t xml:space="preserve">, przy czym miasto Krośniewice pełni rolę lokalnego centrum koncentracji usług publicznych, handlu, oświaty, kultury oraz infrastruktury technicznej. </w:t>
      </w:r>
      <w:r w:rsidRPr="00471510">
        <w:rPr>
          <w:sz w:val="24"/>
          <w:szCs w:val="24"/>
        </w:rPr>
        <w:t>Z kolei - o</w:t>
      </w:r>
      <w:r w:rsidRPr="00FE6DBE">
        <w:rPr>
          <w:sz w:val="24"/>
          <w:szCs w:val="24"/>
        </w:rPr>
        <w:t xml:space="preserve">bszary wiejskie zdominowane są przez użytkowanie rolnicze, oparte na dobrych jakościowo glebach, co stanowi jeden z kluczowych zasobów endogenicznych gminy. Jednocześnie niski poziom lesistości oraz ograniczona liczba obszarów prawnie chronionych wpływają na specyfikę środowiskową i przestrzenną jednostki </w:t>
      </w:r>
    </w:p>
    <w:p w14:paraId="001D39C4" w14:textId="77777777" w:rsidR="00471510" w:rsidRPr="00FE6DBE" w:rsidRDefault="00471510" w:rsidP="00471510">
      <w:pPr>
        <w:spacing w:before="120" w:after="0" w:line="264" w:lineRule="auto"/>
        <w:rPr>
          <w:sz w:val="24"/>
          <w:szCs w:val="24"/>
        </w:rPr>
      </w:pPr>
      <w:r w:rsidRPr="00FE6DBE">
        <w:rPr>
          <w:sz w:val="24"/>
          <w:szCs w:val="24"/>
        </w:rPr>
        <w:t xml:space="preserve">Analiza procesów demograficznych wskazuje na utrzymujące się w ostatnich latach niekorzystne tendencje, związane ze spadkiem liczby ludności, ujemnym przyrostem naturalnym oraz postępującym starzeniem się społeczeństwa. </w:t>
      </w:r>
      <w:r w:rsidRPr="00471510">
        <w:rPr>
          <w:sz w:val="24"/>
          <w:szCs w:val="24"/>
        </w:rPr>
        <w:t xml:space="preserve">Na podstawie danych GUS </w:t>
      </w:r>
      <w:r w:rsidRPr="001329B4">
        <w:rPr>
          <w:b/>
          <w:bCs/>
          <w:sz w:val="24"/>
          <w:szCs w:val="24"/>
        </w:rPr>
        <w:t>w latach 2002-2024 liczba mieszkańców zmalała o 18,0%.</w:t>
      </w:r>
      <w:r w:rsidRPr="00471510">
        <w:rPr>
          <w:sz w:val="24"/>
          <w:szCs w:val="24"/>
        </w:rPr>
        <w:t xml:space="preserve"> </w:t>
      </w:r>
      <w:r w:rsidRPr="00FE6DBE">
        <w:rPr>
          <w:sz w:val="24"/>
          <w:szCs w:val="24"/>
        </w:rPr>
        <w:t xml:space="preserve">Zjawiska te mają bezpośredni wpływ na lokalny rynek pracy, zapotrzebowanie na usługi społeczne, w tym opiekę zdrowotną i wsparcie dla osób starszych, a także na perspektywy rozwoju gospodarczego gminy </w:t>
      </w:r>
    </w:p>
    <w:p w14:paraId="7C3DC1FB" w14:textId="77777777" w:rsidR="00471510" w:rsidRPr="00FE6DBE" w:rsidRDefault="00471510" w:rsidP="00471510">
      <w:pPr>
        <w:spacing w:before="120" w:after="0" w:line="264" w:lineRule="auto"/>
        <w:rPr>
          <w:sz w:val="24"/>
          <w:szCs w:val="24"/>
        </w:rPr>
      </w:pPr>
      <w:r w:rsidRPr="00FE6DBE">
        <w:rPr>
          <w:sz w:val="24"/>
          <w:szCs w:val="24"/>
        </w:rPr>
        <w:t xml:space="preserve">W sferze społecznej diagnoza lokalnych zagrożeń </w:t>
      </w:r>
      <w:r w:rsidRPr="00471510">
        <w:rPr>
          <w:sz w:val="24"/>
          <w:szCs w:val="24"/>
        </w:rPr>
        <w:t xml:space="preserve">opracowania na potrzeby </w:t>
      </w:r>
      <w:r w:rsidRPr="00471510">
        <w:rPr>
          <w:b/>
          <w:bCs/>
          <w:sz w:val="24"/>
          <w:szCs w:val="24"/>
        </w:rPr>
        <w:t>Strategii Rozwoju Gminy Krośniewice na lata 2023-2030</w:t>
      </w:r>
      <w:r w:rsidRPr="00471510">
        <w:rPr>
          <w:rStyle w:val="Odwoanieprzypisudolnego"/>
          <w:sz w:val="24"/>
          <w:szCs w:val="24"/>
        </w:rPr>
        <w:footnoteReference w:id="9"/>
      </w:r>
      <w:r w:rsidRPr="00471510">
        <w:rPr>
          <w:sz w:val="24"/>
          <w:szCs w:val="24"/>
        </w:rPr>
        <w:t xml:space="preserve">, </w:t>
      </w:r>
      <w:r w:rsidRPr="00FE6DBE">
        <w:rPr>
          <w:sz w:val="24"/>
          <w:szCs w:val="24"/>
        </w:rPr>
        <w:t xml:space="preserve">wskazuje na występowanie problemów charakterystycznych dla małych gmin miejsko-wiejskich, w tym bezrobocia, ubóstwa, </w:t>
      </w:r>
      <w:r w:rsidRPr="00FE6DBE">
        <w:rPr>
          <w:sz w:val="24"/>
          <w:szCs w:val="24"/>
        </w:rPr>
        <w:lastRenderedPageBreak/>
        <w:t>długotrwałych chorób oraz narastających wyzwań związanych z dostępnością usług zdrowotnych i opiekuńczych. Jednocześnie zauważalna jest relatywnie wysoka aktywność społeczna mieszkańców oraz potencjał instytucjonalny gminy w zakresie realizacji zadań z obszaru polityki społecznej i profilaktyki</w:t>
      </w:r>
      <w:r w:rsidRPr="00471510">
        <w:rPr>
          <w:sz w:val="24"/>
          <w:szCs w:val="24"/>
        </w:rPr>
        <w:t>. Gmina Krośniewice ma ujemny przyrost naturalny wynoszący -63. Odpowiada to przyrostowi naturalnemu -8,23 na 1000 mieszkańców gminy Krośniewice. Wg danych za 2024 rok 57,6% mieszkańców gminy Krośniewice jest w wieku produkcyjnym, 16,4% w wieku przedprodukcyjnym, a 26,0% mieszkańców jest w wieku poprodukcyjnym.</w:t>
      </w:r>
    </w:p>
    <w:p w14:paraId="1BB1C436" w14:textId="047FFBC5" w:rsidR="00D526F0" w:rsidRDefault="00471510" w:rsidP="00D526F0">
      <w:pPr>
        <w:spacing w:before="120" w:after="0" w:line="264" w:lineRule="auto"/>
        <w:rPr>
          <w:sz w:val="24"/>
          <w:szCs w:val="24"/>
        </w:rPr>
      </w:pPr>
      <w:r w:rsidRPr="00AD2D77">
        <w:rPr>
          <w:sz w:val="24"/>
          <w:szCs w:val="24"/>
        </w:rPr>
        <w:t>Diagnoza uwzględnia również dorobek planistyczny gminy, w tym ustalenia wynikające z Lokalnego Programu Rewitalizacji Miasta Krośniewice na lata 2014-2022 (LPR), który wskazywał na potrzebę kompleksowych działań naprawczych w sferze społecznej, gospodarczej i przestrzennej, szczególnie na obszarach miejskich dotkniętych kumulacją problemów rozwojowych.  Na terenie gminy Krośniewice nie wyznacza się obszarów strategicznej interwencji na poziomie lokalnym. Jednak na podstawie informacji zawartych w LPR obszarami kluczowymi do wsparcia dla gminy jest obszar rewitalizacji w mieście Krośniewice. Podobnie, w Studium uwarunkowań i kierunków zagospodarowania przestrzennego gminy Krośniewice</w:t>
      </w:r>
      <w:r w:rsidRPr="00AD2D77">
        <w:rPr>
          <w:rStyle w:val="Odwoanieprzypisudolnego"/>
          <w:sz w:val="24"/>
          <w:szCs w:val="24"/>
        </w:rPr>
        <w:footnoteReference w:id="10"/>
      </w:r>
      <w:r w:rsidRPr="00AD2D77">
        <w:rPr>
          <w:sz w:val="24"/>
          <w:szCs w:val="24"/>
        </w:rPr>
        <w:t xml:space="preserve">. </w:t>
      </w:r>
      <w:r w:rsidR="00AD2D77">
        <w:rPr>
          <w:sz w:val="24"/>
          <w:szCs w:val="24"/>
        </w:rPr>
        <w:t xml:space="preserve">Zgodnie z ustaleniami ww. dokumentów, </w:t>
      </w:r>
      <w:r w:rsidR="00AD2D77">
        <w:rPr>
          <w:b/>
          <w:bCs/>
          <w:sz w:val="24"/>
          <w:szCs w:val="24"/>
        </w:rPr>
        <w:t>c</w:t>
      </w:r>
      <w:r w:rsidRPr="001329B4">
        <w:rPr>
          <w:b/>
          <w:bCs/>
          <w:sz w:val="24"/>
          <w:szCs w:val="24"/>
        </w:rPr>
        <w:t>ały obszar centrum mi</w:t>
      </w:r>
      <w:r w:rsidR="00AD2D77">
        <w:rPr>
          <w:b/>
          <w:bCs/>
          <w:sz w:val="24"/>
          <w:szCs w:val="24"/>
        </w:rPr>
        <w:t xml:space="preserve">ejski </w:t>
      </w:r>
      <w:r w:rsidRPr="001329B4">
        <w:rPr>
          <w:b/>
          <w:bCs/>
          <w:sz w:val="24"/>
          <w:szCs w:val="24"/>
        </w:rPr>
        <w:t xml:space="preserve">wymaga </w:t>
      </w:r>
      <w:r w:rsidRPr="00AD2D77">
        <w:rPr>
          <w:b/>
          <w:bCs/>
          <w:sz w:val="24"/>
          <w:szCs w:val="24"/>
        </w:rPr>
        <w:t>rewitalizacji i działań, które zapobiegłyby powstawaniu nowych obiektów niedopasowanych do historycznej zabudowy</w:t>
      </w:r>
      <w:r w:rsidRPr="00471510">
        <w:rPr>
          <w:sz w:val="24"/>
          <w:szCs w:val="24"/>
        </w:rPr>
        <w:t>.</w:t>
      </w:r>
      <w:r w:rsidR="00D526F0" w:rsidRPr="00D526F0">
        <w:rPr>
          <w:sz w:val="24"/>
          <w:szCs w:val="24"/>
        </w:rPr>
        <w:t xml:space="preserve"> </w:t>
      </w:r>
    </w:p>
    <w:p w14:paraId="7FD4F707" w14:textId="77777777" w:rsidR="00D526F0" w:rsidRPr="00AD2D77" w:rsidRDefault="00D526F0" w:rsidP="00471510">
      <w:pPr>
        <w:spacing w:before="120" w:after="0" w:line="264" w:lineRule="auto"/>
        <w:rPr>
          <w:sz w:val="24"/>
          <w:szCs w:val="24"/>
        </w:rPr>
      </w:pPr>
      <w:r w:rsidRPr="00D526F0">
        <w:rPr>
          <w:sz w:val="24"/>
          <w:szCs w:val="24"/>
        </w:rPr>
        <w:t>Jednym z założeń Krajowej Strategii Rozwoju Regionalnego 2030 jest osiągnięcie spójności kraju w wymiarze społecznym, gospodarczym, środowiskowym i przestrzennym. Aby zapewnić zrównoważony rozwój wszystkich ośrodków, zarówno miejskich, jak i wiejskich, niezbędne jest wspieranie obszarów szczególne problemowych. Do takich obszarów należ</w:t>
      </w:r>
      <w:r>
        <w:rPr>
          <w:sz w:val="24"/>
          <w:szCs w:val="24"/>
        </w:rPr>
        <w:t xml:space="preserve">y </w:t>
      </w:r>
      <w:r w:rsidRPr="00AD2D77">
        <w:rPr>
          <w:b/>
          <w:bCs/>
          <w:sz w:val="24"/>
          <w:szCs w:val="24"/>
        </w:rPr>
        <w:t>gmina Krośniewice, która została w dokumencie zdefiniowana jako zagrożona trwałą marginalizacją</w:t>
      </w:r>
      <w:r w:rsidRPr="00D526F0">
        <w:rPr>
          <w:sz w:val="24"/>
          <w:szCs w:val="24"/>
        </w:rPr>
        <w:t xml:space="preserve">. Potwierdzono to także w aktualnej Strategii Rozwoju Województwa </w:t>
      </w:r>
      <w:r>
        <w:rPr>
          <w:sz w:val="24"/>
          <w:szCs w:val="24"/>
        </w:rPr>
        <w:t xml:space="preserve">Łódzkiego 2030 </w:t>
      </w:r>
      <w:r w:rsidRPr="00D526F0">
        <w:rPr>
          <w:sz w:val="24"/>
          <w:szCs w:val="24"/>
        </w:rPr>
        <w:t>(SRWŁ 2030), stanowiącej kluczowy dokument określający cele rozwoju regionu oraz instrumenty ich realizacji w perspektywie roku 2030</w:t>
      </w:r>
      <w:r>
        <w:rPr>
          <w:rStyle w:val="Odwoanieprzypisudolnego"/>
          <w:sz w:val="24"/>
          <w:szCs w:val="24"/>
        </w:rPr>
        <w:footnoteReference w:id="11"/>
      </w:r>
      <w:r w:rsidRPr="00D526F0">
        <w:rPr>
          <w:sz w:val="24"/>
          <w:szCs w:val="24"/>
        </w:rPr>
        <w:t>.</w:t>
      </w:r>
      <w:r>
        <w:rPr>
          <w:sz w:val="24"/>
          <w:szCs w:val="24"/>
        </w:rPr>
        <w:t xml:space="preserve"> </w:t>
      </w:r>
      <w:r w:rsidRPr="00471510">
        <w:rPr>
          <w:sz w:val="24"/>
          <w:szCs w:val="24"/>
        </w:rPr>
        <w:t xml:space="preserve">W obowiązującej strategii rozwoju gminy </w:t>
      </w:r>
      <w:r w:rsidRPr="00AD2D77">
        <w:rPr>
          <w:sz w:val="24"/>
          <w:szCs w:val="24"/>
        </w:rPr>
        <w:t>nie ustalono obszarów strategicznej interwencji kluczowych dla Gminy</w:t>
      </w:r>
      <w:r w:rsidRPr="00AD2D77">
        <w:rPr>
          <w:rStyle w:val="Odwoanieprzypisudolnego"/>
          <w:sz w:val="24"/>
          <w:szCs w:val="24"/>
        </w:rPr>
        <w:footnoteReference w:id="12"/>
      </w:r>
      <w:r w:rsidRPr="00AD2D77">
        <w:rPr>
          <w:sz w:val="24"/>
          <w:szCs w:val="24"/>
        </w:rPr>
        <w:t xml:space="preserve">. </w:t>
      </w:r>
    </w:p>
    <w:p w14:paraId="37280C36" w14:textId="476F5834" w:rsidR="00974EBD" w:rsidRDefault="00471510" w:rsidP="00471510">
      <w:pPr>
        <w:spacing w:before="120" w:after="0" w:line="264" w:lineRule="auto"/>
        <w:rPr>
          <w:sz w:val="24"/>
          <w:szCs w:val="24"/>
        </w:rPr>
      </w:pPr>
      <w:r w:rsidRPr="00FE6DBE">
        <w:rPr>
          <w:sz w:val="24"/>
          <w:szCs w:val="24"/>
        </w:rPr>
        <w:t>Przeprowadzone rozpoznanie stanowi podstawę do dalszych analiz oraz formułowania spójnych i ukierunkowanych działań rozwojowych, zmierzających do poprawy jakości życia mieszkańców, wzmocnienia konkurencyjności gospodarczej Gminy oraz zapewnienia zrównoważonego rozwoju w wymiarze społecznym, gospodarczym i przestrzennym.</w:t>
      </w:r>
      <w:r w:rsidR="004513A3">
        <w:rPr>
          <w:sz w:val="24"/>
          <w:szCs w:val="24"/>
        </w:rPr>
        <w:t xml:space="preserve"> </w:t>
      </w:r>
      <w:r w:rsidR="00EE54FE" w:rsidRPr="00471510">
        <w:rPr>
          <w:sz w:val="24"/>
          <w:szCs w:val="24"/>
        </w:rPr>
        <w:t>Podsumowując najważniejsze ustalenia uproszczonej diagnoza obszaru gminy</w:t>
      </w:r>
      <w:r w:rsidR="004513A3">
        <w:rPr>
          <w:sz w:val="24"/>
          <w:szCs w:val="24"/>
        </w:rPr>
        <w:t>, Krośniewice stają</w:t>
      </w:r>
      <w:r w:rsidR="00EE54FE" w:rsidRPr="00471510">
        <w:rPr>
          <w:sz w:val="24"/>
          <w:szCs w:val="24"/>
        </w:rPr>
        <w:t xml:space="preserve"> przed wyzwaniami związanymi ze spadkiem i starzeniem się ludności, niską aktywnością gospodarczą i niedoszacowaną infrastrukturą techniczną, przy jednoczesnym potencjale w zakresie dziedzictwa kulturowego, zasobów </w:t>
      </w:r>
      <w:r w:rsidR="004513A3">
        <w:rPr>
          <w:sz w:val="24"/>
          <w:szCs w:val="24"/>
        </w:rPr>
        <w:t xml:space="preserve">turystycznych </w:t>
      </w:r>
      <w:r w:rsidR="00EE54FE" w:rsidRPr="00471510">
        <w:rPr>
          <w:sz w:val="24"/>
          <w:szCs w:val="24"/>
        </w:rPr>
        <w:t>i lokalizacji komunikacyjnej</w:t>
      </w:r>
      <w:r w:rsidR="004513A3">
        <w:rPr>
          <w:sz w:val="24"/>
          <w:szCs w:val="24"/>
        </w:rPr>
        <w:t xml:space="preserve"> miasta Kutna</w:t>
      </w:r>
      <w:r w:rsidR="00EE54FE" w:rsidRPr="00471510">
        <w:rPr>
          <w:sz w:val="24"/>
          <w:szCs w:val="24"/>
        </w:rPr>
        <w:t>. Priorytetem jest poprawa</w:t>
      </w:r>
      <w:r w:rsidR="00EE54FE" w:rsidRPr="00EE54FE">
        <w:rPr>
          <w:sz w:val="24"/>
          <w:szCs w:val="24"/>
        </w:rPr>
        <w:t xml:space="preserve"> warunków życia i atrakcyjności osiedleńczej, wsparcie przedsiębiorczości oraz rozwój infrastruktury komunalnej i turystycznej, co powinno przełożyć się na stabilizację i wzrost populacji oraz zrównoważony rozwój gminy.</w:t>
      </w:r>
      <w:r w:rsidR="00EE54FE">
        <w:rPr>
          <w:sz w:val="24"/>
          <w:szCs w:val="24"/>
        </w:rPr>
        <w:t xml:space="preserve"> Uwzględniając powyższe ustalenia zaproponowano metodologię wyznaczenia obszarów kryzysowych w </w:t>
      </w:r>
      <w:r w:rsidR="00542097">
        <w:rPr>
          <w:sz w:val="24"/>
          <w:szCs w:val="24"/>
        </w:rPr>
        <w:t>g</w:t>
      </w:r>
      <w:r w:rsidR="00EE54FE">
        <w:rPr>
          <w:sz w:val="24"/>
          <w:szCs w:val="24"/>
        </w:rPr>
        <w:t xml:space="preserve">minie. </w:t>
      </w:r>
    </w:p>
    <w:p w14:paraId="0A82698C" w14:textId="1D8B7619" w:rsidR="001B6F6D" w:rsidRDefault="001B6F6D" w:rsidP="003075D0">
      <w:pPr>
        <w:spacing w:before="120" w:after="0" w:line="264" w:lineRule="auto"/>
        <w:rPr>
          <w:sz w:val="24"/>
          <w:szCs w:val="24"/>
        </w:rPr>
      </w:pPr>
      <w:r>
        <w:rPr>
          <w:sz w:val="24"/>
          <w:szCs w:val="24"/>
        </w:rPr>
        <w:lastRenderedPageBreak/>
        <w:t>Poniżej zaprezentowano wprowadzenie do metodologii wyznaczania obszarów kryzysowych oraz szczegółową analizę poszczególnych sfer, o których mowa w art. 9 ust. 1 ustawy o rewitalizacji, celem delimitacji obszaru zdegradowanego i obszaru rewitalizacji</w:t>
      </w:r>
      <w:r w:rsidR="003E09FD">
        <w:rPr>
          <w:sz w:val="24"/>
          <w:szCs w:val="24"/>
        </w:rPr>
        <w:t xml:space="preserve"> Gminy</w:t>
      </w:r>
      <w:r w:rsidR="00EE54FE">
        <w:rPr>
          <w:sz w:val="24"/>
          <w:szCs w:val="24"/>
        </w:rPr>
        <w:t>.</w:t>
      </w:r>
    </w:p>
    <w:p w14:paraId="4817E3BF" w14:textId="77777777" w:rsidR="001B6F6D" w:rsidRPr="002C517D" w:rsidRDefault="001B6F6D" w:rsidP="003D2355">
      <w:pPr>
        <w:pStyle w:val="Nagwek2"/>
      </w:pPr>
      <w:bookmarkStart w:id="74" w:name="_Toc108591671"/>
      <w:bookmarkStart w:id="75" w:name="_Toc108592683"/>
      <w:bookmarkStart w:id="76" w:name="_Toc108592748"/>
      <w:bookmarkStart w:id="77" w:name="_Toc133584134"/>
      <w:bookmarkStart w:id="78" w:name="_Toc138666208"/>
      <w:bookmarkStart w:id="79" w:name="_Toc219271386"/>
      <w:r w:rsidRPr="002C517D">
        <w:t>Metodologia wyznaczania obszarów kryzysowych</w:t>
      </w:r>
      <w:bookmarkEnd w:id="74"/>
      <w:bookmarkEnd w:id="75"/>
      <w:bookmarkEnd w:id="76"/>
      <w:bookmarkEnd w:id="77"/>
      <w:bookmarkEnd w:id="78"/>
      <w:bookmarkEnd w:id="79"/>
    </w:p>
    <w:p w14:paraId="0BEF3D4A" w14:textId="3ACE2865" w:rsidR="001B6F6D" w:rsidRPr="009817E2" w:rsidRDefault="001B6F6D" w:rsidP="002D6249">
      <w:pPr>
        <w:pStyle w:val="Legenda"/>
        <w:rPr>
          <w:b/>
          <w:bCs/>
          <w:sz w:val="24"/>
          <w:szCs w:val="24"/>
        </w:rPr>
      </w:pPr>
      <w:r w:rsidRPr="009817E2">
        <w:rPr>
          <w:sz w:val="24"/>
          <w:szCs w:val="24"/>
        </w:rPr>
        <w:t xml:space="preserve">Przepisy ustawy o rewitalizacji (art. 4) wskazują, iż diagnoza ma być oparta o „obiektywne i weryfikowalne mierniki i metody badawcze dostosowane do lokalnych uwarunkowań”. W celu właściwej agregacji informacji, możliwości zebrania koniecznych danych statystycznych, Gmina </w:t>
      </w:r>
      <w:r w:rsidRPr="00EC2F04">
        <w:rPr>
          <w:color w:val="000000" w:themeColor="text1"/>
          <w:sz w:val="24"/>
          <w:szCs w:val="24"/>
        </w:rPr>
        <w:t>została podzielona na podobszary – jednostki, dla których przeprowadzono diagnozę społeczną, gospodarczą, środowiskową, techniczną i przestrzenną. Podział dokonany został na podstawie sołectw</w:t>
      </w:r>
      <w:r w:rsidR="00AD2D77">
        <w:rPr>
          <w:color w:val="000000" w:themeColor="text1"/>
          <w:sz w:val="24"/>
          <w:szCs w:val="24"/>
        </w:rPr>
        <w:t xml:space="preserve"> w terenie wiejskim i osiedli w terenie miejskim</w:t>
      </w:r>
      <w:r w:rsidRPr="00EC2F04">
        <w:rPr>
          <w:color w:val="000000" w:themeColor="text1"/>
          <w:sz w:val="24"/>
          <w:szCs w:val="24"/>
        </w:rPr>
        <w:t>.</w:t>
      </w:r>
      <w:r w:rsidR="003075D0" w:rsidRPr="00EC2F04">
        <w:rPr>
          <w:color w:val="000000" w:themeColor="text1"/>
          <w:sz w:val="24"/>
          <w:szCs w:val="24"/>
        </w:rPr>
        <w:t xml:space="preserve"> </w:t>
      </w:r>
      <w:r w:rsidR="009871AE" w:rsidRPr="009817E2">
        <w:rPr>
          <w:sz w:val="24"/>
          <w:szCs w:val="24"/>
        </w:rPr>
        <w:t>Celem wydzielenia obszarów kryzysowych przeprowadzono szczegółową analizę wskaźników – mierników ilościowych i jakościowych, kwerendę wiedzy eksperckiej zawartej, między innymi, w dokumentach związanych z Gminą</w:t>
      </w:r>
      <w:r w:rsidR="009871AE" w:rsidRPr="009817E2">
        <w:rPr>
          <w:rStyle w:val="Odwoanieprzypisudolnego"/>
          <w:sz w:val="24"/>
          <w:szCs w:val="24"/>
        </w:rPr>
        <w:footnoteReference w:id="13"/>
      </w:r>
      <w:r w:rsidR="009871AE" w:rsidRPr="009817E2">
        <w:rPr>
          <w:sz w:val="24"/>
          <w:szCs w:val="24"/>
        </w:rPr>
        <w:t xml:space="preserve">. </w:t>
      </w:r>
      <w:bookmarkStart w:id="80" w:name="page54"/>
      <w:bookmarkEnd w:id="80"/>
      <w:r w:rsidR="009871AE" w:rsidRPr="009817E2">
        <w:rPr>
          <w:sz w:val="24"/>
          <w:szCs w:val="24"/>
        </w:rPr>
        <w:t>Analiza rozkładu wartości wskaźników została oparta o kryterium wartości średniej danego wskaźnika. W zależności od interpretacji treści wskaźnika, oceniane jako znajdujące się w trudnej (na tle Gminy) sytuacji, są obszary o niekorzystnej jego wartości. Im wyższe wartości charakteryzują jednostkę, tym gorsza jest sytuacja, na tle pozostałych obszarów Gminy w danym zakresie.</w:t>
      </w:r>
      <w:r w:rsidR="009871AE" w:rsidRPr="009817E2">
        <w:rPr>
          <w:rFonts w:eastAsia="Wingdings"/>
          <w:sz w:val="24"/>
          <w:szCs w:val="24"/>
        </w:rPr>
        <w:t xml:space="preserve"> </w:t>
      </w:r>
      <w:r w:rsidR="009871AE" w:rsidRPr="009817E2">
        <w:rPr>
          <w:sz w:val="24"/>
          <w:szCs w:val="24"/>
        </w:rPr>
        <w:t xml:space="preserve">Zjawiska kryzysowe w sferze społecznej, gospodarczej, środowiskowej, przestrzenno-funkcjonalnej, i technicznej są rozpoznane w ujęciu przedmiotowym, w odniesieniu do zakresu obejmującego świadczenia socjalne, interwencje policji, czy aktywność organizacji pozarządowych. Wiele informacji jest dostępnych w układzie przestrzennym w formie schematycznych map tematycznych, opracowywanych w UG i dostępnych na stronach internetowych. </w:t>
      </w:r>
      <w:r w:rsidR="00AD2D77">
        <w:rPr>
          <w:sz w:val="24"/>
          <w:szCs w:val="24"/>
        </w:rPr>
        <w:t>D</w:t>
      </w:r>
      <w:r w:rsidR="009871AE" w:rsidRPr="009817E2">
        <w:rPr>
          <w:sz w:val="24"/>
          <w:szCs w:val="24"/>
        </w:rPr>
        <w:t xml:space="preserve">okonano szczegółowej analizy danych </w:t>
      </w:r>
      <w:r w:rsidRPr="004513A3">
        <w:rPr>
          <w:b/>
          <w:bCs/>
          <w:sz w:val="24"/>
          <w:szCs w:val="24"/>
        </w:rPr>
        <w:t xml:space="preserve">Urzędu </w:t>
      </w:r>
      <w:r w:rsidR="004513A3" w:rsidRPr="004513A3">
        <w:rPr>
          <w:b/>
          <w:bCs/>
          <w:sz w:val="24"/>
          <w:szCs w:val="24"/>
        </w:rPr>
        <w:t>Miejskiego w Krośniewicach</w:t>
      </w:r>
      <w:r w:rsidRPr="004513A3">
        <w:rPr>
          <w:b/>
          <w:bCs/>
          <w:sz w:val="24"/>
          <w:szCs w:val="24"/>
        </w:rPr>
        <w:t xml:space="preserve"> i </w:t>
      </w:r>
      <w:r w:rsidR="00774BB7">
        <w:rPr>
          <w:b/>
          <w:bCs/>
          <w:sz w:val="24"/>
          <w:szCs w:val="24"/>
        </w:rPr>
        <w:t>Miejsko-</w:t>
      </w:r>
      <w:r w:rsidR="00974EBD" w:rsidRPr="004513A3">
        <w:rPr>
          <w:b/>
          <w:bCs/>
          <w:sz w:val="24"/>
          <w:szCs w:val="24"/>
        </w:rPr>
        <w:t xml:space="preserve">Gminnego Ośrodka Pomocy Społecznej w </w:t>
      </w:r>
      <w:r w:rsidR="00774BB7">
        <w:rPr>
          <w:b/>
          <w:bCs/>
          <w:sz w:val="24"/>
          <w:szCs w:val="24"/>
        </w:rPr>
        <w:t>Krośniewicach</w:t>
      </w:r>
      <w:r w:rsidRPr="004513A3">
        <w:rPr>
          <w:b/>
          <w:bCs/>
          <w:sz w:val="24"/>
          <w:szCs w:val="24"/>
        </w:rPr>
        <w:t xml:space="preserve"> </w:t>
      </w:r>
      <w:r w:rsidR="00974EBD" w:rsidRPr="004513A3">
        <w:rPr>
          <w:b/>
          <w:bCs/>
          <w:sz w:val="24"/>
          <w:szCs w:val="24"/>
        </w:rPr>
        <w:t xml:space="preserve">Komisariatu Policji w Małkini Górnej </w:t>
      </w:r>
      <w:r w:rsidRPr="004513A3">
        <w:rPr>
          <w:sz w:val="24"/>
          <w:szCs w:val="24"/>
        </w:rPr>
        <w:t xml:space="preserve">oraz </w:t>
      </w:r>
      <w:r w:rsidRPr="004513A3">
        <w:rPr>
          <w:b/>
          <w:bCs/>
          <w:sz w:val="24"/>
          <w:szCs w:val="24"/>
        </w:rPr>
        <w:t xml:space="preserve">Powiatowego Urzędu Pracy </w:t>
      </w:r>
      <w:r w:rsidR="00974EBD" w:rsidRPr="004513A3">
        <w:rPr>
          <w:b/>
          <w:bCs/>
          <w:sz w:val="24"/>
          <w:szCs w:val="24"/>
        </w:rPr>
        <w:t xml:space="preserve">w </w:t>
      </w:r>
      <w:r w:rsidR="004513A3">
        <w:rPr>
          <w:b/>
          <w:bCs/>
          <w:sz w:val="24"/>
          <w:szCs w:val="24"/>
        </w:rPr>
        <w:t>Kutnie.</w:t>
      </w:r>
    </w:p>
    <w:p w14:paraId="7251F5FD" w14:textId="31206320" w:rsidR="00BF4FFC" w:rsidRPr="009817E2" w:rsidRDefault="009871AE" w:rsidP="003075D0">
      <w:pPr>
        <w:tabs>
          <w:tab w:val="right" w:leader="dot" w:pos="9062"/>
        </w:tabs>
        <w:spacing w:before="120" w:after="0" w:line="264" w:lineRule="auto"/>
        <w:rPr>
          <w:sz w:val="24"/>
          <w:szCs w:val="24"/>
        </w:rPr>
      </w:pPr>
      <w:r w:rsidRPr="009817E2">
        <w:rPr>
          <w:sz w:val="24"/>
          <w:szCs w:val="24"/>
        </w:rPr>
        <w:t>Analizę zjawisk o charakterze liniowym, punktowym lub obszarowym przedstawiono w ujęciu kartograficznym lub opisowym. Problemy wynikające ze stanu zagospodarowania przestrzennego, braku spójnej koncepcji przestrzeni, gęstości zabudowy i niedostosowania infrastruktury do rosnących potrzeb użytkowników mają często charakter ogólnogminny. Ustawa o rewitalizacji nie precyzuj</w:t>
      </w:r>
      <w:r w:rsidR="00F51A90">
        <w:rPr>
          <w:sz w:val="24"/>
          <w:szCs w:val="24"/>
        </w:rPr>
        <w:t>e</w:t>
      </w:r>
      <w:r w:rsidRPr="009817E2">
        <w:rPr>
          <w:sz w:val="24"/>
          <w:szCs w:val="24"/>
        </w:rPr>
        <w:t xml:space="preserve"> sposobu obliczenia tego wskaźnika (może to być np. średnia arytmetyczna lub typologia), dlatego daną referencyjną była średnia dla badanej gminy. Zgodnie z przyjętą metodologią deprywacja rozumiana była jako stan (materialny lub niematerialny) na terenie jednostki, który nie zapewnia egzystencji i funkcjonowania przyjętych w danym społeczeństwie i wskazujący odstępstwo od średniej dla badanej gminy. </w:t>
      </w:r>
    </w:p>
    <w:p w14:paraId="6DEBAE81" w14:textId="11F06E0E" w:rsidR="009F2B5F" w:rsidRPr="009817E2" w:rsidRDefault="009871AE" w:rsidP="003075D0">
      <w:pPr>
        <w:spacing w:before="120" w:after="0" w:line="264" w:lineRule="auto"/>
        <w:rPr>
          <w:sz w:val="24"/>
          <w:szCs w:val="24"/>
        </w:rPr>
      </w:pPr>
      <w:r w:rsidRPr="009817E2">
        <w:rPr>
          <w:sz w:val="24"/>
          <w:szCs w:val="24"/>
        </w:rPr>
        <w:t>Analiza wskaźników diagnostycznych została dokonana z wykorzystaniem brytyjskiej metodologii bazującej na wskaźniku wielowymiarowej degradacji społecznej, czyli metodologii wskaźnika deprawacji wielowymiarowej IMD (ang. Index of Multiple Deprivation)</w:t>
      </w:r>
      <w:r w:rsidRPr="009817E2">
        <w:rPr>
          <w:rStyle w:val="Odwoanieprzypisudolnego"/>
          <w:sz w:val="24"/>
          <w:szCs w:val="24"/>
        </w:rPr>
        <w:footnoteReference w:id="14"/>
      </w:r>
      <w:r w:rsidR="00AD2D77">
        <w:rPr>
          <w:sz w:val="24"/>
          <w:szCs w:val="24"/>
        </w:rPr>
        <w:t>.</w:t>
      </w:r>
      <w:r w:rsidRPr="009817E2">
        <w:rPr>
          <w:sz w:val="24"/>
          <w:szCs w:val="24"/>
        </w:rPr>
        <w:t xml:space="preserve"> Metodologia wskaźnika </w:t>
      </w:r>
      <w:r w:rsidRPr="009817E2">
        <w:rPr>
          <w:sz w:val="24"/>
          <w:szCs w:val="24"/>
        </w:rPr>
        <w:lastRenderedPageBreak/>
        <w:t xml:space="preserve">deprawacji wielowymiarowej IMD stosowana jest powszednie w badaniach. Metodologia liczenia Index of Multiple Deprivation: 3 punkty (kolor czerwony), a za każdy kolejny obszar oznaczony na czerwono, do wartości ogólnej punktów przyznawanych za kolor czerwony, powinien zostać dopisany dodatkowo jeden punkt. Uzyskana wartość sumaryczna staje się podstawą do dopisania kolejnego punktu w przypadku wykrycia trzeciego obszaru oznaczonego na czerwono w danej jednostce analityczne, czyli odpowiednio: 1 obszar (3 punkty), 2 obszary (3 punkty + 1), 3 obszary (3 punkty + 1 + 1). Niniejszy proces sumowania wartości powinien zostać powtórzony w odniesieniu do kolejnych obszarów oznaczonych na czerwono. Obszary oznaczone na inne kolory uzyskują odpowiednio: 2 punkty (kolor żółty), 1 punkt (kolor zielony). W ramach wyznaczania wartości średniej koncentracji problemów na danych obszarze przyjęto wskaźnik o odpowiednim odchyleniu punktowym przyjęto najczęściej odchylenie na poziomie 15% - 25%. Niniejsza analiza pozwala na przyznanie określenie wartości liczbowych obowiązywania poszczególnych kolorów (zielonego, żółtego, czerwonego), jako stopnia natężenia problemów społecznych. Należy podkreślić, iż przyjęty sposób obliczeń zakłada nakładanie się problemów społecznych, które w przypadku wielokrotnego wystąpienia na danym obszarze sprawiają, iż staje się on obszarem o wysokiej liczbie deficytów utrudniających możliwość prowadzenia aktywizacji społecznej mieszkańców. I wyprowadzania obszaru z sytuacji kryzysowej. W podsumowaniu wyliczania wskaźnika syntetycznego deprawacji wielowymiarowej IMD dla wyników każdej jednostki doliczano dodatkowo wartość IMD w ramach poszczególnych uwarunkowań poddanych analizie. Przyjęty sposób obliczeń zakłada nakładanie się problemów, które w przypadku wielokrotnego wystąpienia na danym obszarze sprawiają, iż staje się on obszarem o wysokiej liczbie deficytów utrudniających możliwość prowadzenia aktywizacji społecznej mieszkańców i wyprowadzania obszaru z sytuacji kryzysowej. Prezentowana metodologia wyznaczania obszarów zdegradowanych i obszarów rewitalizacji zakładała, że każde badane zjawisko miało taką samą wagę w obliczaniu wskaźnika syntetycznego, co </w:t>
      </w:r>
      <w:proofErr w:type="gramStart"/>
      <w:r w:rsidRPr="009817E2">
        <w:rPr>
          <w:sz w:val="24"/>
          <w:szCs w:val="24"/>
        </w:rPr>
        <w:t>oznacza</w:t>
      </w:r>
      <w:proofErr w:type="gramEnd"/>
      <w:r w:rsidRPr="009817E2">
        <w:rPr>
          <w:sz w:val="24"/>
          <w:szCs w:val="24"/>
        </w:rPr>
        <w:t xml:space="preserve"> że w ramach wskaźnika syntetycznego każdy miał 25% udziału we wskaźniku syntetycznym. W wyliczeniach nie wprowadzano różnych wag dla wskaźników </w:t>
      </w:r>
      <w:proofErr w:type="gramStart"/>
      <w:r w:rsidRPr="009817E2">
        <w:rPr>
          <w:sz w:val="24"/>
          <w:szCs w:val="24"/>
        </w:rPr>
        <w:t>syntetycznych</w:t>
      </w:r>
      <w:r w:rsidR="008C35D4" w:rsidRPr="009817E2">
        <w:rPr>
          <w:sz w:val="24"/>
          <w:szCs w:val="24"/>
        </w:rPr>
        <w:t>,</w:t>
      </w:r>
      <w:proofErr w:type="gramEnd"/>
      <w:r w:rsidRPr="009817E2">
        <w:rPr>
          <w:sz w:val="24"/>
          <w:szCs w:val="24"/>
        </w:rPr>
        <w:t xml:space="preserve"> ani wskaźników cząstkowych. </w:t>
      </w:r>
    </w:p>
    <w:p w14:paraId="47E1A164" w14:textId="14A7917E" w:rsidR="008C35D4" w:rsidRPr="009817E2" w:rsidRDefault="008C35D4" w:rsidP="003075D0">
      <w:pPr>
        <w:spacing w:before="120" w:after="0" w:line="264" w:lineRule="auto"/>
        <w:rPr>
          <w:sz w:val="24"/>
          <w:szCs w:val="24"/>
        </w:rPr>
      </w:pPr>
      <w:r w:rsidRPr="009817E2">
        <w:rPr>
          <w:sz w:val="24"/>
          <w:szCs w:val="24"/>
        </w:rPr>
        <w:t xml:space="preserve">Do analizy porównawczej zróżnicowania wewnątrzgminnego wykorzystane zostaną </w:t>
      </w:r>
      <w:r w:rsidRPr="00E20BBA">
        <w:rPr>
          <w:b/>
          <w:bCs/>
          <w:sz w:val="24"/>
          <w:szCs w:val="24"/>
        </w:rPr>
        <w:t>łącznie 1</w:t>
      </w:r>
      <w:r w:rsidR="00AD2D77">
        <w:rPr>
          <w:b/>
          <w:bCs/>
          <w:sz w:val="24"/>
          <w:szCs w:val="24"/>
        </w:rPr>
        <w:t>8</w:t>
      </w:r>
      <w:r w:rsidRPr="00E20BBA">
        <w:rPr>
          <w:b/>
          <w:bCs/>
          <w:sz w:val="24"/>
          <w:szCs w:val="24"/>
        </w:rPr>
        <w:t xml:space="preserve">. wskaźników, w tym </w:t>
      </w:r>
      <w:r w:rsidR="00E20BBA" w:rsidRPr="00E20BBA">
        <w:rPr>
          <w:b/>
          <w:bCs/>
          <w:sz w:val="24"/>
          <w:szCs w:val="24"/>
        </w:rPr>
        <w:t>8</w:t>
      </w:r>
      <w:r w:rsidRPr="00E20BBA">
        <w:rPr>
          <w:b/>
          <w:bCs/>
          <w:sz w:val="24"/>
          <w:szCs w:val="24"/>
        </w:rPr>
        <w:t xml:space="preserve">. wskaźników odnoszących się do sfery społecznej, 2. wskaźniki ze sfery gospodarczej, </w:t>
      </w:r>
      <w:r w:rsidR="00E9145D" w:rsidRPr="00E20BBA">
        <w:rPr>
          <w:b/>
          <w:bCs/>
          <w:sz w:val="24"/>
          <w:szCs w:val="24"/>
        </w:rPr>
        <w:t>2</w:t>
      </w:r>
      <w:r w:rsidRPr="00E20BBA">
        <w:rPr>
          <w:b/>
          <w:bCs/>
          <w:sz w:val="24"/>
          <w:szCs w:val="24"/>
        </w:rPr>
        <w:t xml:space="preserve">. ze sfery środowiskowej, </w:t>
      </w:r>
      <w:r w:rsidR="00E20BBA">
        <w:rPr>
          <w:b/>
          <w:bCs/>
          <w:sz w:val="24"/>
          <w:szCs w:val="24"/>
        </w:rPr>
        <w:t>7</w:t>
      </w:r>
      <w:r w:rsidRPr="00E20BBA">
        <w:rPr>
          <w:b/>
          <w:bCs/>
          <w:sz w:val="24"/>
          <w:szCs w:val="24"/>
        </w:rPr>
        <w:t>. ze strefy przestrzenno-funkcjonalno-technicznej.</w:t>
      </w:r>
    </w:p>
    <w:p w14:paraId="6150BC83" w14:textId="6B568A51" w:rsidR="00974EBD" w:rsidRPr="00323FA0" w:rsidRDefault="008C35D4" w:rsidP="002D6249">
      <w:pPr>
        <w:pStyle w:val="Legenda"/>
      </w:pPr>
      <w:bookmarkStart w:id="81" w:name="_Toc219274338"/>
      <w:r w:rsidRPr="003000AC">
        <w:t xml:space="preserve">Tabela </w:t>
      </w:r>
      <w:fldSimple w:instr=" SEQ Tabela \* ARABIC ">
        <w:r w:rsidR="001329B4">
          <w:rPr>
            <w:noProof/>
          </w:rPr>
          <w:t>2</w:t>
        </w:r>
      </w:fldSimple>
      <w:r w:rsidRPr="003000AC">
        <w:t xml:space="preserve">. Wskaźniki wykorzystane do oceny </w:t>
      </w:r>
      <w:r w:rsidR="00E20BBA">
        <w:t xml:space="preserve">społeczno-gospodarczych </w:t>
      </w:r>
      <w:r w:rsidRPr="003000AC">
        <w:t xml:space="preserve">w diagnozie delimitacyjnej w celu wyznaczenia obszaru zdegradowanego </w:t>
      </w:r>
      <w:r w:rsidR="00E20BBA">
        <w:t xml:space="preserve">i obszaru rewitalizacji </w:t>
      </w:r>
      <w:r w:rsidRPr="003000AC">
        <w:t xml:space="preserve">w Gminie </w:t>
      </w:r>
      <w:r w:rsidR="004513A3">
        <w:t>Krośniewice</w:t>
      </w:r>
      <w:bookmarkEnd w:id="81"/>
      <w:r w:rsidR="004513A3">
        <w:t xml:space="preserve"> </w:t>
      </w:r>
    </w:p>
    <w:tbl>
      <w:tblPr>
        <w:tblStyle w:val="Tabela-Siatka"/>
        <w:tblW w:w="10060" w:type="dxa"/>
        <w:tblLayout w:type="fixed"/>
        <w:tblLook w:val="04A0" w:firstRow="1" w:lastRow="0" w:firstColumn="1" w:lastColumn="0" w:noHBand="0" w:noVBand="1"/>
      </w:tblPr>
      <w:tblGrid>
        <w:gridCol w:w="562"/>
        <w:gridCol w:w="2552"/>
        <w:gridCol w:w="3544"/>
        <w:gridCol w:w="1559"/>
        <w:gridCol w:w="1843"/>
      </w:tblGrid>
      <w:tr w:rsidR="00974EBD" w:rsidRPr="00974EBD" w14:paraId="6500F5F2" w14:textId="77777777" w:rsidTr="00CD5958">
        <w:tc>
          <w:tcPr>
            <w:tcW w:w="562" w:type="dxa"/>
            <w:shd w:val="clear" w:color="auto" w:fill="0070C0"/>
          </w:tcPr>
          <w:p w14:paraId="715CDEBB" w14:textId="535193A9" w:rsidR="00974EBD" w:rsidRPr="00895A36" w:rsidRDefault="00974EBD" w:rsidP="00C2688E">
            <w:pPr>
              <w:jc w:val="center"/>
              <w:rPr>
                <w:rFonts w:asciiTheme="minorHAnsi" w:hAnsiTheme="minorHAnsi" w:cstheme="minorHAnsi"/>
                <w:color w:val="FFFFFF" w:themeColor="background1"/>
              </w:rPr>
            </w:pPr>
            <w:r w:rsidRPr="00895A36">
              <w:rPr>
                <w:rFonts w:asciiTheme="minorHAnsi" w:hAnsiTheme="minorHAnsi" w:cstheme="minorHAnsi"/>
                <w:color w:val="FFFFFF" w:themeColor="background1"/>
              </w:rPr>
              <w:t>Nr</w:t>
            </w:r>
          </w:p>
        </w:tc>
        <w:tc>
          <w:tcPr>
            <w:tcW w:w="2552" w:type="dxa"/>
            <w:shd w:val="clear" w:color="auto" w:fill="0070C0"/>
          </w:tcPr>
          <w:p w14:paraId="12D9906A" w14:textId="7B9A9A26" w:rsidR="00974EBD" w:rsidRPr="00895A36" w:rsidRDefault="00974EBD" w:rsidP="00C2688E">
            <w:pPr>
              <w:jc w:val="center"/>
              <w:rPr>
                <w:rFonts w:asciiTheme="minorHAnsi" w:hAnsiTheme="minorHAnsi" w:cstheme="minorHAnsi"/>
                <w:color w:val="FFFFFF" w:themeColor="background1"/>
              </w:rPr>
            </w:pPr>
            <w:r w:rsidRPr="00895A36">
              <w:rPr>
                <w:rFonts w:asciiTheme="minorHAnsi" w:hAnsiTheme="minorHAnsi" w:cstheme="minorHAnsi"/>
                <w:color w:val="FFFFFF" w:themeColor="background1"/>
              </w:rPr>
              <w:t>Nazwa wskaźnika</w:t>
            </w:r>
          </w:p>
        </w:tc>
        <w:tc>
          <w:tcPr>
            <w:tcW w:w="3544" w:type="dxa"/>
            <w:shd w:val="clear" w:color="auto" w:fill="0070C0"/>
          </w:tcPr>
          <w:p w14:paraId="3F85FC50" w14:textId="7518A940" w:rsidR="00974EBD" w:rsidRPr="00895A36" w:rsidRDefault="00974EBD" w:rsidP="00C2688E">
            <w:pPr>
              <w:jc w:val="center"/>
              <w:rPr>
                <w:rFonts w:asciiTheme="minorHAnsi" w:hAnsiTheme="minorHAnsi" w:cstheme="minorHAnsi"/>
                <w:color w:val="FFFFFF" w:themeColor="background1"/>
              </w:rPr>
            </w:pPr>
            <w:r w:rsidRPr="00895A36">
              <w:rPr>
                <w:rFonts w:asciiTheme="minorHAnsi" w:hAnsiTheme="minorHAnsi" w:cstheme="minorHAnsi"/>
                <w:color w:val="FFFFFF" w:themeColor="background1"/>
              </w:rPr>
              <w:t>Definicja</w:t>
            </w:r>
          </w:p>
        </w:tc>
        <w:tc>
          <w:tcPr>
            <w:tcW w:w="1559" w:type="dxa"/>
            <w:shd w:val="clear" w:color="auto" w:fill="0070C0"/>
          </w:tcPr>
          <w:p w14:paraId="122D5FAF" w14:textId="4E21E96C" w:rsidR="00974EBD" w:rsidRPr="00895A36" w:rsidRDefault="00974EBD" w:rsidP="00C2688E">
            <w:pPr>
              <w:jc w:val="center"/>
              <w:rPr>
                <w:rFonts w:asciiTheme="minorHAnsi" w:hAnsiTheme="minorHAnsi" w:cstheme="minorHAnsi"/>
                <w:color w:val="FFFFFF" w:themeColor="background1"/>
              </w:rPr>
            </w:pPr>
            <w:r w:rsidRPr="00895A36">
              <w:rPr>
                <w:rFonts w:asciiTheme="minorHAnsi" w:hAnsiTheme="minorHAnsi" w:cstheme="minorHAnsi"/>
                <w:color w:val="FFFFFF" w:themeColor="background1"/>
              </w:rPr>
              <w:t>Rodzaj oddziaływania</w:t>
            </w:r>
          </w:p>
        </w:tc>
        <w:tc>
          <w:tcPr>
            <w:tcW w:w="1843" w:type="dxa"/>
            <w:shd w:val="clear" w:color="auto" w:fill="0070C0"/>
          </w:tcPr>
          <w:p w14:paraId="71BC6F26" w14:textId="77777777" w:rsidR="00974EBD" w:rsidRPr="00895A36" w:rsidRDefault="00974EBD" w:rsidP="00C2688E">
            <w:pPr>
              <w:jc w:val="center"/>
              <w:rPr>
                <w:rFonts w:asciiTheme="minorHAnsi" w:hAnsiTheme="minorHAnsi" w:cstheme="minorHAnsi"/>
                <w:color w:val="FFFFFF" w:themeColor="background1"/>
              </w:rPr>
            </w:pPr>
            <w:r w:rsidRPr="00895A36">
              <w:rPr>
                <w:rFonts w:asciiTheme="minorHAnsi" w:hAnsiTheme="minorHAnsi" w:cstheme="minorHAnsi"/>
                <w:color w:val="FFFFFF" w:themeColor="background1"/>
              </w:rPr>
              <w:t>Źródło danych</w:t>
            </w:r>
          </w:p>
        </w:tc>
      </w:tr>
      <w:tr w:rsidR="00974EBD" w:rsidRPr="00974EBD" w14:paraId="158E912A" w14:textId="77777777" w:rsidTr="00E20BBA">
        <w:tc>
          <w:tcPr>
            <w:tcW w:w="10060" w:type="dxa"/>
            <w:gridSpan w:val="5"/>
            <w:shd w:val="clear" w:color="auto" w:fill="0070C0"/>
          </w:tcPr>
          <w:p w14:paraId="70E8298A" w14:textId="38AB3E70" w:rsidR="00974EBD" w:rsidRPr="00895A36" w:rsidRDefault="00974EBD" w:rsidP="00974EBD">
            <w:pPr>
              <w:spacing w:before="120" w:after="120"/>
              <w:jc w:val="center"/>
              <w:rPr>
                <w:rFonts w:asciiTheme="minorHAnsi" w:hAnsiTheme="minorHAnsi" w:cstheme="minorHAnsi"/>
                <w:color w:val="FFFFFF" w:themeColor="background1"/>
              </w:rPr>
            </w:pPr>
            <w:r w:rsidRPr="00895A36">
              <w:rPr>
                <w:rFonts w:asciiTheme="minorHAnsi" w:hAnsiTheme="minorHAnsi" w:cstheme="minorHAnsi"/>
                <w:color w:val="FFFFFF" w:themeColor="background1"/>
              </w:rPr>
              <w:t xml:space="preserve">SFERA SPOŁECZNA </w:t>
            </w:r>
          </w:p>
        </w:tc>
      </w:tr>
      <w:tr w:rsidR="00974EBD" w:rsidRPr="00F52AD8" w14:paraId="047CCE02" w14:textId="77777777" w:rsidTr="002D6249">
        <w:tc>
          <w:tcPr>
            <w:tcW w:w="562" w:type="dxa"/>
          </w:tcPr>
          <w:p w14:paraId="1963BFD1" w14:textId="77777777" w:rsidR="00974EBD" w:rsidRPr="00F52AD8" w:rsidRDefault="00974EBD" w:rsidP="00023CAC">
            <w:pPr>
              <w:spacing w:before="120" w:line="264" w:lineRule="auto"/>
              <w:rPr>
                <w:rFonts w:asciiTheme="minorHAnsi" w:hAnsiTheme="minorHAnsi" w:cstheme="minorHAnsi"/>
              </w:rPr>
            </w:pPr>
            <w:r w:rsidRPr="00974EBD">
              <w:rPr>
                <w:rFonts w:asciiTheme="minorHAnsi" w:hAnsiTheme="minorHAnsi" w:cstheme="minorHAnsi"/>
              </w:rPr>
              <w:t xml:space="preserve"> </w:t>
            </w:r>
            <w:r w:rsidRPr="00F52AD8">
              <w:rPr>
                <w:rFonts w:asciiTheme="minorHAnsi" w:hAnsiTheme="minorHAnsi" w:cstheme="minorHAnsi"/>
              </w:rPr>
              <w:t>1.</w:t>
            </w:r>
          </w:p>
        </w:tc>
        <w:tc>
          <w:tcPr>
            <w:tcW w:w="2552" w:type="dxa"/>
          </w:tcPr>
          <w:p w14:paraId="19DB0A2F" w14:textId="6D6BE21B"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t>Zmiana liczby</w:t>
            </w:r>
            <w:r w:rsidR="00023CAC">
              <w:rPr>
                <w:rFonts w:asciiTheme="minorHAnsi" w:hAnsiTheme="minorHAnsi" w:cstheme="minorHAnsi"/>
              </w:rPr>
              <w:t xml:space="preserve"> </w:t>
            </w:r>
            <w:r w:rsidRPr="00F52AD8">
              <w:rPr>
                <w:rFonts w:asciiTheme="minorHAnsi" w:hAnsiTheme="minorHAnsi" w:cstheme="minorHAnsi"/>
              </w:rPr>
              <w:t>mieszkańców w latach 2019-2024 na 100 mieszkańców</w:t>
            </w:r>
          </w:p>
        </w:tc>
        <w:tc>
          <w:tcPr>
            <w:tcW w:w="3544" w:type="dxa"/>
          </w:tcPr>
          <w:p w14:paraId="03226C9E" w14:textId="77777777"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t xml:space="preserve">Zmiana liczby mieszkańców na 100 osób w danym okresie (tu: lata 2019–2024) opisuje względny przyrost lub spadek populacji wyrażony jako procent lub liczba osób przypadająca na każde 100 mieszkańców stanu początkowego. </w:t>
            </w:r>
            <w:r w:rsidRPr="00F52AD8">
              <w:rPr>
                <w:rFonts w:asciiTheme="minorHAnsi" w:hAnsiTheme="minorHAnsi" w:cstheme="minorHAnsi"/>
              </w:rPr>
              <w:lastRenderedPageBreak/>
              <w:t>Jest to uniwersalny miernik demograficzny stosowany do porównań dynamiki liczby ludności bez względu na skalę populacji.</w:t>
            </w:r>
          </w:p>
        </w:tc>
        <w:tc>
          <w:tcPr>
            <w:tcW w:w="1559" w:type="dxa"/>
          </w:tcPr>
          <w:p w14:paraId="5AAD9E12" w14:textId="77777777"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lastRenderedPageBreak/>
              <w:t xml:space="preserve">Destymulanta </w:t>
            </w:r>
          </w:p>
        </w:tc>
        <w:tc>
          <w:tcPr>
            <w:tcW w:w="1843" w:type="dxa"/>
          </w:tcPr>
          <w:p w14:paraId="51960CFB" w14:textId="2AF429A6"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t xml:space="preserve">Urząd </w:t>
            </w:r>
            <w:r w:rsidR="00EC4B90" w:rsidRPr="00F52AD8">
              <w:rPr>
                <w:rFonts w:asciiTheme="minorHAnsi" w:hAnsiTheme="minorHAnsi" w:cstheme="minorHAnsi"/>
              </w:rPr>
              <w:t xml:space="preserve">Miejski w Krośniewicach </w:t>
            </w:r>
            <w:r w:rsidRPr="00F52AD8">
              <w:rPr>
                <w:rFonts w:asciiTheme="minorHAnsi" w:hAnsiTheme="minorHAnsi" w:cstheme="minorHAnsi"/>
              </w:rPr>
              <w:t xml:space="preserve"> </w:t>
            </w:r>
          </w:p>
        </w:tc>
      </w:tr>
      <w:tr w:rsidR="00974EBD" w:rsidRPr="00974EBD" w14:paraId="3B28397C" w14:textId="77777777" w:rsidTr="002D6249">
        <w:tc>
          <w:tcPr>
            <w:tcW w:w="562" w:type="dxa"/>
          </w:tcPr>
          <w:p w14:paraId="42F7C784" w14:textId="77777777"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t>2.</w:t>
            </w:r>
          </w:p>
        </w:tc>
        <w:tc>
          <w:tcPr>
            <w:tcW w:w="2552" w:type="dxa"/>
          </w:tcPr>
          <w:p w14:paraId="36ADF3E9" w14:textId="77777777"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t>Frekwencja wyborcza (wybory samorządowe)</w:t>
            </w:r>
          </w:p>
        </w:tc>
        <w:tc>
          <w:tcPr>
            <w:tcW w:w="3544" w:type="dxa"/>
          </w:tcPr>
          <w:p w14:paraId="4A730D22" w14:textId="77777777"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t>Frekwencja wyborcza w wyborach samorządowych 2024 roku to wskaźnik określający, jaki odsetek osób uprawnionych do głosowania rzeczywiście oddał swój głos. Formalnie definiuje się ją jako stosunek liczby oddanych ważnych głosów do ogólnej liczby osób uprawnionych do głosowania, wyrażony najczęściej w procentach.</w:t>
            </w:r>
          </w:p>
        </w:tc>
        <w:tc>
          <w:tcPr>
            <w:tcW w:w="1559" w:type="dxa"/>
          </w:tcPr>
          <w:p w14:paraId="3ACBA2E0" w14:textId="77777777"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t>Stymulanta</w:t>
            </w:r>
          </w:p>
        </w:tc>
        <w:tc>
          <w:tcPr>
            <w:tcW w:w="1843" w:type="dxa"/>
          </w:tcPr>
          <w:p w14:paraId="313436D4" w14:textId="77777777" w:rsidR="00974EBD" w:rsidRPr="00974EBD" w:rsidRDefault="00974EBD" w:rsidP="00023CAC">
            <w:pPr>
              <w:spacing w:before="120" w:line="264" w:lineRule="auto"/>
              <w:rPr>
                <w:rFonts w:asciiTheme="minorHAnsi" w:hAnsiTheme="minorHAnsi" w:cstheme="minorHAnsi"/>
              </w:rPr>
            </w:pPr>
            <w:r w:rsidRPr="00F52AD8">
              <w:rPr>
                <w:rFonts w:asciiTheme="minorHAnsi" w:hAnsiTheme="minorHAnsi" w:cstheme="minorHAnsi"/>
              </w:rPr>
              <w:t>PKW</w:t>
            </w:r>
            <w:r w:rsidRPr="00974EBD">
              <w:rPr>
                <w:rFonts w:asciiTheme="minorHAnsi" w:hAnsiTheme="minorHAnsi" w:cstheme="minorHAnsi"/>
              </w:rPr>
              <w:t xml:space="preserve"> </w:t>
            </w:r>
          </w:p>
        </w:tc>
      </w:tr>
      <w:tr w:rsidR="00974EBD" w:rsidRPr="00974EBD" w14:paraId="6DC371E8" w14:textId="77777777" w:rsidTr="002D6249">
        <w:tc>
          <w:tcPr>
            <w:tcW w:w="562" w:type="dxa"/>
          </w:tcPr>
          <w:p w14:paraId="1132150E" w14:textId="77777777" w:rsidR="00974EBD" w:rsidRPr="00974EBD" w:rsidRDefault="00974EBD" w:rsidP="00023CAC">
            <w:pPr>
              <w:spacing w:before="120" w:line="264" w:lineRule="auto"/>
              <w:rPr>
                <w:rFonts w:asciiTheme="minorHAnsi" w:hAnsiTheme="minorHAnsi" w:cstheme="minorHAnsi"/>
              </w:rPr>
            </w:pPr>
            <w:r w:rsidRPr="00974EBD">
              <w:rPr>
                <w:rFonts w:asciiTheme="minorHAnsi" w:hAnsiTheme="minorHAnsi" w:cstheme="minorHAnsi"/>
              </w:rPr>
              <w:t>3.</w:t>
            </w:r>
          </w:p>
        </w:tc>
        <w:tc>
          <w:tcPr>
            <w:tcW w:w="2552" w:type="dxa"/>
          </w:tcPr>
          <w:p w14:paraId="45986AC1" w14:textId="261F0CA2" w:rsidR="00974EBD" w:rsidRPr="00974EBD" w:rsidRDefault="00974EBD" w:rsidP="00023CAC">
            <w:pPr>
              <w:spacing w:before="120" w:line="264" w:lineRule="auto"/>
              <w:rPr>
                <w:rFonts w:asciiTheme="minorHAnsi" w:hAnsiTheme="minorHAnsi" w:cstheme="minorHAnsi"/>
              </w:rPr>
            </w:pPr>
            <w:r w:rsidRPr="00974EBD">
              <w:rPr>
                <w:rFonts w:asciiTheme="minorHAnsi" w:hAnsiTheme="minorHAnsi" w:cstheme="minorHAnsi"/>
              </w:rPr>
              <w:t>Liczba osób bezrobotnych</w:t>
            </w:r>
            <w:r w:rsidR="00023CAC">
              <w:rPr>
                <w:rFonts w:asciiTheme="minorHAnsi" w:hAnsiTheme="minorHAnsi" w:cstheme="minorHAnsi"/>
              </w:rPr>
              <w:t xml:space="preserve"> </w:t>
            </w:r>
            <w:r w:rsidRPr="00974EBD">
              <w:rPr>
                <w:rFonts w:asciiTheme="minorHAnsi" w:hAnsiTheme="minorHAnsi" w:cstheme="minorHAnsi"/>
              </w:rPr>
              <w:t>na 100 osób</w:t>
            </w:r>
          </w:p>
        </w:tc>
        <w:tc>
          <w:tcPr>
            <w:tcW w:w="3544" w:type="dxa"/>
          </w:tcPr>
          <w:p w14:paraId="03443EE4" w14:textId="77777777" w:rsidR="00974EBD" w:rsidRPr="00974EBD" w:rsidRDefault="00974EBD" w:rsidP="00023CAC">
            <w:pPr>
              <w:spacing w:before="120" w:line="264" w:lineRule="auto"/>
              <w:rPr>
                <w:rFonts w:asciiTheme="minorHAnsi" w:hAnsiTheme="minorHAnsi" w:cstheme="minorHAnsi"/>
              </w:rPr>
            </w:pPr>
            <w:r w:rsidRPr="00974EBD">
              <w:rPr>
                <w:rFonts w:asciiTheme="minorHAnsi" w:hAnsiTheme="minorHAnsi" w:cstheme="minorHAnsi"/>
              </w:rPr>
              <w:t>Wskaźnik obrazuje udział osób niezatrudnionych i niewykonujących innej pracy zarobkowej, zarejestrowanych w powiatowym urzędzie pracy oraz poszukujących zatrudnienia lub innej pracy zarobkowej na 100 mieszkańców w danej jednostce. W praktyce przy analizach demograficznych i społecznych, wskaźnik ten służy do łatwego porównywania natężenia bezrobocia między różnymi społecznościami czy okresami</w:t>
            </w:r>
          </w:p>
        </w:tc>
        <w:tc>
          <w:tcPr>
            <w:tcW w:w="1559" w:type="dxa"/>
          </w:tcPr>
          <w:p w14:paraId="6C2D5CF5" w14:textId="77777777" w:rsidR="00974EBD" w:rsidRPr="00974EBD" w:rsidRDefault="00974EBD" w:rsidP="00023CAC">
            <w:pPr>
              <w:spacing w:before="120" w:line="264" w:lineRule="auto"/>
              <w:rPr>
                <w:rFonts w:asciiTheme="minorHAnsi" w:hAnsiTheme="minorHAnsi" w:cstheme="minorHAnsi"/>
              </w:rPr>
            </w:pPr>
            <w:r w:rsidRPr="00974EBD">
              <w:rPr>
                <w:rFonts w:asciiTheme="minorHAnsi" w:hAnsiTheme="minorHAnsi" w:cstheme="minorHAnsi"/>
              </w:rPr>
              <w:t>Destymulanta</w:t>
            </w:r>
          </w:p>
        </w:tc>
        <w:tc>
          <w:tcPr>
            <w:tcW w:w="1843" w:type="dxa"/>
          </w:tcPr>
          <w:p w14:paraId="235422B0" w14:textId="7A1147A9" w:rsidR="00974EBD" w:rsidRPr="00974EBD" w:rsidRDefault="00974EBD" w:rsidP="00023CAC">
            <w:pPr>
              <w:spacing w:before="120" w:line="264" w:lineRule="auto"/>
              <w:rPr>
                <w:rFonts w:asciiTheme="minorHAnsi" w:hAnsiTheme="minorHAnsi" w:cstheme="minorHAnsi"/>
              </w:rPr>
            </w:pPr>
            <w:r w:rsidRPr="00974EBD">
              <w:rPr>
                <w:rFonts w:asciiTheme="minorHAnsi" w:hAnsiTheme="minorHAnsi" w:cstheme="minorHAnsi"/>
              </w:rPr>
              <w:t xml:space="preserve">Powiatowy Urząd Pracy w </w:t>
            </w:r>
            <w:r w:rsidR="00510E42">
              <w:rPr>
                <w:rFonts w:asciiTheme="minorHAnsi" w:hAnsiTheme="minorHAnsi" w:cstheme="minorHAnsi"/>
              </w:rPr>
              <w:t xml:space="preserve">Kutnie </w:t>
            </w:r>
            <w:r w:rsidR="00F52AD8">
              <w:rPr>
                <w:rFonts w:asciiTheme="minorHAnsi" w:hAnsiTheme="minorHAnsi" w:cstheme="minorHAnsi"/>
              </w:rPr>
              <w:t xml:space="preserve">/ analiza własna </w:t>
            </w:r>
          </w:p>
        </w:tc>
      </w:tr>
      <w:tr w:rsidR="00F52AD8" w:rsidRPr="00974EBD" w14:paraId="0BCCD3F7" w14:textId="77777777" w:rsidTr="002D6249">
        <w:tc>
          <w:tcPr>
            <w:tcW w:w="562" w:type="dxa"/>
          </w:tcPr>
          <w:p w14:paraId="1B4EE67F" w14:textId="017B1F13" w:rsidR="00F52AD8" w:rsidRPr="00974EBD" w:rsidRDefault="00F52AD8" w:rsidP="00023CAC">
            <w:pPr>
              <w:spacing w:before="120" w:line="264" w:lineRule="auto"/>
              <w:rPr>
                <w:rFonts w:asciiTheme="minorHAnsi" w:hAnsiTheme="minorHAnsi" w:cstheme="minorHAnsi"/>
              </w:rPr>
            </w:pPr>
            <w:r>
              <w:rPr>
                <w:rFonts w:asciiTheme="minorHAnsi" w:hAnsiTheme="minorHAnsi" w:cstheme="minorHAnsi"/>
              </w:rPr>
              <w:t>4.</w:t>
            </w:r>
          </w:p>
        </w:tc>
        <w:tc>
          <w:tcPr>
            <w:tcW w:w="2552" w:type="dxa"/>
          </w:tcPr>
          <w:p w14:paraId="3CED43C5" w14:textId="103456DB" w:rsidR="00F52AD8" w:rsidRPr="00974EBD" w:rsidRDefault="00F52AD8" w:rsidP="00023CAC">
            <w:pPr>
              <w:spacing w:before="120" w:line="264" w:lineRule="auto"/>
              <w:rPr>
                <w:rFonts w:asciiTheme="minorHAnsi" w:hAnsiTheme="minorHAnsi" w:cstheme="minorHAnsi"/>
              </w:rPr>
            </w:pPr>
            <w:r w:rsidRPr="00F52AD8">
              <w:rPr>
                <w:rFonts w:asciiTheme="minorHAnsi" w:hAnsiTheme="minorHAnsi" w:cstheme="minorHAnsi"/>
              </w:rPr>
              <w:t xml:space="preserve">Odsetek ludności w wieku poprodukcyjnym </w:t>
            </w:r>
          </w:p>
        </w:tc>
        <w:tc>
          <w:tcPr>
            <w:tcW w:w="3544" w:type="dxa"/>
          </w:tcPr>
          <w:p w14:paraId="692A627A" w14:textId="43413E10" w:rsidR="00F52AD8" w:rsidRPr="00F52AD8" w:rsidRDefault="00F52AD8" w:rsidP="00023CAC">
            <w:pPr>
              <w:spacing w:before="120" w:line="264" w:lineRule="auto"/>
              <w:rPr>
                <w:rFonts w:asciiTheme="minorHAnsi" w:hAnsiTheme="minorHAnsi" w:cstheme="minorHAnsi"/>
              </w:rPr>
            </w:pPr>
            <w:r w:rsidRPr="00F52AD8">
              <w:rPr>
                <w:rFonts w:asciiTheme="minorHAnsi" w:hAnsiTheme="minorHAnsi" w:cstheme="minorHAnsi"/>
              </w:rPr>
              <w:t>Wskaźnik obliczany jako odsetek mieszkańców jednostki urbanistycznej (osiedla / sołectwa), którzy osiągnęli wiek poprodukcyjny</w:t>
            </w:r>
            <w:r>
              <w:rPr>
                <w:rFonts w:asciiTheme="minorHAnsi" w:hAnsiTheme="minorHAnsi" w:cstheme="minorHAnsi"/>
              </w:rPr>
              <w:t>. Progi interpretacyjne:</w:t>
            </w:r>
            <w:r w:rsidR="00023CAC">
              <w:rPr>
                <w:rFonts w:asciiTheme="minorHAnsi" w:hAnsiTheme="minorHAnsi" w:cstheme="minorHAnsi"/>
              </w:rPr>
              <w:t xml:space="preserve"> </w:t>
            </w:r>
            <w:r w:rsidRPr="00F52AD8">
              <w:rPr>
                <w:rFonts w:asciiTheme="minorHAnsi" w:hAnsiTheme="minorHAnsi" w:cstheme="minorHAnsi"/>
              </w:rPr>
              <w:t>Niskie obciążenie: &lt; 18% — relatywnie niska koncentracja ludności poprodukcyjnej; niższy popyt na usługi opiekuńcze.</w:t>
            </w:r>
          </w:p>
          <w:p w14:paraId="754DA7CB" w14:textId="6CB078DB" w:rsidR="00F52AD8" w:rsidRPr="00974EBD" w:rsidRDefault="00F52AD8" w:rsidP="00023CAC">
            <w:pPr>
              <w:spacing w:before="120" w:line="264" w:lineRule="auto"/>
              <w:rPr>
                <w:rFonts w:asciiTheme="minorHAnsi" w:hAnsiTheme="minorHAnsi" w:cstheme="minorHAnsi"/>
              </w:rPr>
            </w:pPr>
            <w:r w:rsidRPr="00F52AD8">
              <w:rPr>
                <w:rFonts w:asciiTheme="minorHAnsi" w:hAnsiTheme="minorHAnsi" w:cstheme="minorHAnsi"/>
              </w:rPr>
              <w:t>Umiarkowane obciążenie: 18–24% — istotne potrzeby opiekuńcze; zalecane planowanie usług dziennych i wsparcia opiekunów.</w:t>
            </w:r>
            <w:r w:rsidR="00023CAC">
              <w:rPr>
                <w:rFonts w:asciiTheme="minorHAnsi" w:hAnsiTheme="minorHAnsi" w:cstheme="minorHAnsi"/>
              </w:rPr>
              <w:t xml:space="preserve"> </w:t>
            </w:r>
            <w:r w:rsidRPr="00F52AD8">
              <w:rPr>
                <w:rFonts w:asciiTheme="minorHAnsi" w:hAnsiTheme="minorHAnsi" w:cstheme="minorHAnsi"/>
              </w:rPr>
              <w:t>Wysokie obciążenie: &gt; 24% — wysoki stopień starzenia; priorytet inwestycji w opiekę długoterminową, mieszkania chronione i intensywną politykę zdrowotno-opiekuńczą</w:t>
            </w:r>
          </w:p>
        </w:tc>
        <w:tc>
          <w:tcPr>
            <w:tcW w:w="1559" w:type="dxa"/>
          </w:tcPr>
          <w:p w14:paraId="3F2AFEAC" w14:textId="0473503B" w:rsidR="00F52AD8" w:rsidRPr="00974EBD" w:rsidRDefault="00F52AD8" w:rsidP="00023CAC">
            <w:pPr>
              <w:spacing w:before="120" w:line="264" w:lineRule="auto"/>
              <w:rPr>
                <w:rFonts w:asciiTheme="minorHAnsi" w:hAnsiTheme="minorHAnsi" w:cstheme="minorHAnsi"/>
              </w:rPr>
            </w:pPr>
            <w:r w:rsidRPr="00F52AD8">
              <w:rPr>
                <w:rFonts w:asciiTheme="minorHAnsi" w:hAnsiTheme="minorHAnsi" w:cstheme="minorHAnsi"/>
              </w:rPr>
              <w:t>Destymulanta</w:t>
            </w:r>
          </w:p>
        </w:tc>
        <w:tc>
          <w:tcPr>
            <w:tcW w:w="1843" w:type="dxa"/>
          </w:tcPr>
          <w:p w14:paraId="6F78E3EC" w14:textId="26E00855" w:rsidR="00F52AD8" w:rsidRPr="00974EBD" w:rsidRDefault="00F52AD8" w:rsidP="00023CAC">
            <w:pPr>
              <w:spacing w:before="120" w:line="264" w:lineRule="auto"/>
              <w:rPr>
                <w:rFonts w:asciiTheme="minorHAnsi" w:hAnsiTheme="minorHAnsi" w:cstheme="minorHAnsi"/>
              </w:rPr>
            </w:pPr>
            <w:r w:rsidRPr="00F52AD8">
              <w:rPr>
                <w:rFonts w:asciiTheme="minorHAnsi" w:hAnsiTheme="minorHAnsi" w:cstheme="minorHAnsi"/>
              </w:rPr>
              <w:t xml:space="preserve">Urząd Miejski w Krośniewicach </w:t>
            </w:r>
            <w:r>
              <w:rPr>
                <w:rFonts w:asciiTheme="minorHAnsi" w:hAnsiTheme="minorHAnsi" w:cstheme="minorHAnsi"/>
              </w:rPr>
              <w:t xml:space="preserve">/ analiza własna </w:t>
            </w:r>
          </w:p>
        </w:tc>
      </w:tr>
      <w:tr w:rsidR="00974EBD" w:rsidRPr="00F52AD8" w14:paraId="07D5C1AC" w14:textId="77777777" w:rsidTr="002D6249">
        <w:tc>
          <w:tcPr>
            <w:tcW w:w="562" w:type="dxa"/>
          </w:tcPr>
          <w:p w14:paraId="7DF5C56B" w14:textId="6DCFDCA7" w:rsidR="00974EBD" w:rsidRPr="00F52AD8" w:rsidRDefault="00F52AD8" w:rsidP="00023CAC">
            <w:pPr>
              <w:spacing w:before="120" w:line="264" w:lineRule="auto"/>
              <w:rPr>
                <w:rFonts w:asciiTheme="minorHAnsi" w:hAnsiTheme="minorHAnsi" w:cstheme="minorHAnsi"/>
              </w:rPr>
            </w:pPr>
            <w:r>
              <w:rPr>
                <w:rFonts w:asciiTheme="minorHAnsi" w:hAnsiTheme="minorHAnsi" w:cstheme="minorHAnsi"/>
              </w:rPr>
              <w:lastRenderedPageBreak/>
              <w:t>5</w:t>
            </w:r>
            <w:r w:rsidR="00974EBD" w:rsidRPr="00F52AD8">
              <w:rPr>
                <w:rFonts w:asciiTheme="minorHAnsi" w:hAnsiTheme="minorHAnsi" w:cstheme="minorHAnsi"/>
              </w:rPr>
              <w:t>.</w:t>
            </w:r>
          </w:p>
          <w:p w14:paraId="58A388B0" w14:textId="77777777" w:rsidR="00974EBD" w:rsidRPr="00F52AD8" w:rsidRDefault="00974EBD" w:rsidP="00023CAC">
            <w:pPr>
              <w:spacing w:before="120" w:line="264" w:lineRule="auto"/>
              <w:rPr>
                <w:rFonts w:asciiTheme="minorHAnsi" w:hAnsiTheme="minorHAnsi" w:cstheme="minorHAnsi"/>
              </w:rPr>
            </w:pPr>
          </w:p>
        </w:tc>
        <w:tc>
          <w:tcPr>
            <w:tcW w:w="2552" w:type="dxa"/>
          </w:tcPr>
          <w:p w14:paraId="14BFBAA8" w14:textId="77777777"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t xml:space="preserve">Liczba przestępstw i wykroczeń stwierdzonych </w:t>
            </w:r>
            <w:proofErr w:type="gramStart"/>
            <w:r w:rsidRPr="00F52AD8">
              <w:rPr>
                <w:rFonts w:asciiTheme="minorHAnsi" w:hAnsiTheme="minorHAnsi" w:cstheme="minorHAnsi"/>
              </w:rPr>
              <w:t>nie obejmujących</w:t>
            </w:r>
            <w:proofErr w:type="gramEnd"/>
            <w:r w:rsidRPr="00F52AD8">
              <w:rPr>
                <w:rFonts w:asciiTheme="minorHAnsi" w:hAnsiTheme="minorHAnsi" w:cstheme="minorHAnsi"/>
              </w:rPr>
              <w:t xml:space="preserve"> zdarzeń drogowych i przestępstw gospodarczych, w tym czyny karalne nieletnich tj. do 17-tego roku życia na 100 osób</w:t>
            </w:r>
          </w:p>
        </w:tc>
        <w:tc>
          <w:tcPr>
            <w:tcW w:w="3544" w:type="dxa"/>
          </w:tcPr>
          <w:p w14:paraId="1A687608" w14:textId="77777777"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t>Wskaźnik jest miarą poziomu zagrożenia przestępczością w danej zbiorowości, posiadającą charakter destymulanty w analizach społeczno-gospodarczych. Wzrost wartości wskaźnika wskazuje na pogorszenie sytuacji lokalnej w zakresie bezpieczeństwa publicznego.</w:t>
            </w:r>
          </w:p>
        </w:tc>
        <w:tc>
          <w:tcPr>
            <w:tcW w:w="1559" w:type="dxa"/>
          </w:tcPr>
          <w:p w14:paraId="3484D0D2" w14:textId="77777777"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t>Destymulanta</w:t>
            </w:r>
          </w:p>
        </w:tc>
        <w:tc>
          <w:tcPr>
            <w:tcW w:w="1843" w:type="dxa"/>
          </w:tcPr>
          <w:p w14:paraId="664BDFCE" w14:textId="071119D0"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t xml:space="preserve">Komisariat Policji w </w:t>
            </w:r>
            <w:r w:rsidR="00510E42" w:rsidRPr="00F52AD8">
              <w:rPr>
                <w:rFonts w:asciiTheme="minorHAnsi" w:hAnsiTheme="minorHAnsi" w:cstheme="minorHAnsi"/>
              </w:rPr>
              <w:t xml:space="preserve">Krośniewicach </w:t>
            </w:r>
          </w:p>
        </w:tc>
      </w:tr>
      <w:tr w:rsidR="00974EBD" w:rsidRPr="00F52AD8" w14:paraId="321B09E8" w14:textId="77777777" w:rsidTr="002D6249">
        <w:tc>
          <w:tcPr>
            <w:tcW w:w="562" w:type="dxa"/>
          </w:tcPr>
          <w:p w14:paraId="73C8FF71" w14:textId="6BD60589" w:rsidR="00974EBD" w:rsidRPr="00F52AD8" w:rsidRDefault="00F52AD8" w:rsidP="00023CAC">
            <w:pPr>
              <w:spacing w:before="120" w:line="264" w:lineRule="auto"/>
              <w:rPr>
                <w:rFonts w:asciiTheme="minorHAnsi" w:hAnsiTheme="minorHAnsi" w:cstheme="minorHAnsi"/>
              </w:rPr>
            </w:pPr>
            <w:r>
              <w:rPr>
                <w:rFonts w:asciiTheme="minorHAnsi" w:hAnsiTheme="minorHAnsi" w:cstheme="minorHAnsi"/>
              </w:rPr>
              <w:t>6</w:t>
            </w:r>
            <w:r w:rsidR="00974EBD" w:rsidRPr="00F52AD8">
              <w:rPr>
                <w:rFonts w:asciiTheme="minorHAnsi" w:hAnsiTheme="minorHAnsi" w:cstheme="minorHAnsi"/>
              </w:rPr>
              <w:t>.</w:t>
            </w:r>
          </w:p>
        </w:tc>
        <w:tc>
          <w:tcPr>
            <w:tcW w:w="2552" w:type="dxa"/>
          </w:tcPr>
          <w:p w14:paraId="00FC940E" w14:textId="3145A6E3" w:rsidR="00974EBD"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Sytuacja dochodowa i warunki życia mieszkańców</w:t>
            </w:r>
            <w:r w:rsidRPr="00F52AD8">
              <w:rPr>
                <w:rStyle w:val="Odwoanieprzypisudolnego"/>
                <w:rFonts w:asciiTheme="minorHAnsi" w:hAnsiTheme="minorHAnsi"/>
              </w:rPr>
              <w:footnoteReference w:id="15"/>
            </w:r>
          </w:p>
        </w:tc>
        <w:tc>
          <w:tcPr>
            <w:tcW w:w="3544" w:type="dxa"/>
          </w:tcPr>
          <w:p w14:paraId="14F7ABD7" w14:textId="3B8F634F"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Ocena jakościowa na podstawie danych MGOPS w Krośniewicach. Obszar 1. Sytuacja dochodowa i warunki życia mieszkańców. Obejmuje m.in.:</w:t>
            </w:r>
          </w:p>
          <w:p w14:paraId="7C882387" w14:textId="322AE0F3"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 ubóstwo i trudną sytuację bytową osób i rodzin,</w:t>
            </w:r>
          </w:p>
          <w:p w14:paraId="0DC7FCBD" w14:textId="775821B9"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 bezrobocie, niestabilność zatrudnienia, niską aktywność zawodową,</w:t>
            </w:r>
          </w:p>
          <w:p w14:paraId="74C89641" w14:textId="0DB69A2F"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 inne problemy ekonomiczno-bytowe istotne z punktu widzenia MGOPS</w:t>
            </w:r>
          </w:p>
        </w:tc>
        <w:tc>
          <w:tcPr>
            <w:tcW w:w="1559" w:type="dxa"/>
          </w:tcPr>
          <w:p w14:paraId="4E392C28" w14:textId="77777777"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t xml:space="preserve">Destymulanta </w:t>
            </w:r>
          </w:p>
        </w:tc>
        <w:tc>
          <w:tcPr>
            <w:tcW w:w="1843" w:type="dxa"/>
          </w:tcPr>
          <w:p w14:paraId="025FD92B" w14:textId="138BBE7B" w:rsidR="00974EBD"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Miejsko - Gminny Ośrodek Pomocy Społecznej w Krośniewicach</w:t>
            </w:r>
          </w:p>
        </w:tc>
      </w:tr>
      <w:tr w:rsidR="00974EBD" w:rsidRPr="00F52AD8" w14:paraId="3BA64B6E" w14:textId="77777777" w:rsidTr="002D6249">
        <w:tc>
          <w:tcPr>
            <w:tcW w:w="562" w:type="dxa"/>
          </w:tcPr>
          <w:p w14:paraId="5257E778" w14:textId="56A10B96" w:rsidR="00974EBD" w:rsidRPr="00F52AD8" w:rsidRDefault="00F52AD8" w:rsidP="00023CAC">
            <w:pPr>
              <w:spacing w:before="120" w:line="264" w:lineRule="auto"/>
              <w:rPr>
                <w:rFonts w:asciiTheme="minorHAnsi" w:hAnsiTheme="minorHAnsi" w:cstheme="minorHAnsi"/>
              </w:rPr>
            </w:pPr>
            <w:r>
              <w:rPr>
                <w:rFonts w:asciiTheme="minorHAnsi" w:hAnsiTheme="minorHAnsi" w:cstheme="minorHAnsi"/>
              </w:rPr>
              <w:t>7</w:t>
            </w:r>
            <w:r w:rsidR="00974EBD" w:rsidRPr="00F52AD8">
              <w:rPr>
                <w:rFonts w:asciiTheme="minorHAnsi" w:hAnsiTheme="minorHAnsi" w:cstheme="minorHAnsi"/>
              </w:rPr>
              <w:t>.</w:t>
            </w:r>
          </w:p>
        </w:tc>
        <w:tc>
          <w:tcPr>
            <w:tcW w:w="2552" w:type="dxa"/>
          </w:tcPr>
          <w:p w14:paraId="1157BD70" w14:textId="59E3227B" w:rsidR="00974EBD"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Funkcjonowanie rodzin i opieka nad osobami zależnymi</w:t>
            </w:r>
          </w:p>
        </w:tc>
        <w:tc>
          <w:tcPr>
            <w:tcW w:w="3544" w:type="dxa"/>
          </w:tcPr>
          <w:p w14:paraId="466B118D" w14:textId="7DCDDBCE"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Obszar 2. Funkcjonowanie rodzin i opieka nad osobami zależnymi. Obejmuje m.in.:</w:t>
            </w:r>
          </w:p>
          <w:p w14:paraId="148D2F42" w14:textId="3C377C05"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 bezradność w sprawach opiekuńczo-wychowawczych,</w:t>
            </w:r>
          </w:p>
          <w:p w14:paraId="075AB313" w14:textId="3434035D"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 trudności w prowadzeniu gospodarstwa domowego,</w:t>
            </w:r>
          </w:p>
          <w:p w14:paraId="3D9486F1" w14:textId="09D51911"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 niepełnosprawność i ograniczoną samodzielność mieszkańców,</w:t>
            </w:r>
          </w:p>
          <w:p w14:paraId="6E0B392B" w14:textId="636DF7C1" w:rsidR="00974EBD"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 problemy opiekuńcze w rodzinach z osobami starszymi.</w:t>
            </w:r>
          </w:p>
        </w:tc>
        <w:tc>
          <w:tcPr>
            <w:tcW w:w="1559" w:type="dxa"/>
          </w:tcPr>
          <w:p w14:paraId="3F9D0B66" w14:textId="77777777" w:rsidR="00974EBD" w:rsidRPr="00F52AD8" w:rsidRDefault="00974EBD" w:rsidP="00023CAC">
            <w:pPr>
              <w:spacing w:before="120" w:line="264" w:lineRule="auto"/>
              <w:rPr>
                <w:rFonts w:asciiTheme="minorHAnsi" w:hAnsiTheme="minorHAnsi" w:cstheme="minorHAnsi"/>
              </w:rPr>
            </w:pPr>
            <w:r w:rsidRPr="00F52AD8">
              <w:rPr>
                <w:rFonts w:asciiTheme="minorHAnsi" w:hAnsiTheme="minorHAnsi" w:cstheme="minorHAnsi"/>
              </w:rPr>
              <w:t xml:space="preserve">Destymulanta </w:t>
            </w:r>
          </w:p>
        </w:tc>
        <w:tc>
          <w:tcPr>
            <w:tcW w:w="1843" w:type="dxa"/>
          </w:tcPr>
          <w:p w14:paraId="06CB2DBC" w14:textId="1C021500" w:rsidR="00974EBD"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Miejsko - Gminny Ośrodek Pomocy Społecznej w Krośniewicach</w:t>
            </w:r>
          </w:p>
        </w:tc>
      </w:tr>
      <w:tr w:rsidR="00EC4B90" w:rsidRPr="00974EBD" w14:paraId="6B3EA38A" w14:textId="77777777" w:rsidTr="002D6249">
        <w:tc>
          <w:tcPr>
            <w:tcW w:w="562" w:type="dxa"/>
          </w:tcPr>
          <w:p w14:paraId="46792F58" w14:textId="56C93517" w:rsidR="00EC4B90" w:rsidRPr="00F52AD8" w:rsidRDefault="00F52AD8" w:rsidP="00023CAC">
            <w:pPr>
              <w:spacing w:before="120" w:line="264" w:lineRule="auto"/>
              <w:rPr>
                <w:rFonts w:asciiTheme="minorHAnsi" w:hAnsiTheme="minorHAnsi" w:cstheme="minorHAnsi"/>
              </w:rPr>
            </w:pPr>
            <w:r>
              <w:rPr>
                <w:rFonts w:asciiTheme="minorHAnsi" w:hAnsiTheme="minorHAnsi" w:cstheme="minorHAnsi"/>
              </w:rPr>
              <w:t>8</w:t>
            </w:r>
            <w:r w:rsidR="00EC4B90" w:rsidRPr="00F52AD8">
              <w:rPr>
                <w:rFonts w:asciiTheme="minorHAnsi" w:hAnsiTheme="minorHAnsi" w:cstheme="minorHAnsi"/>
              </w:rPr>
              <w:t>.</w:t>
            </w:r>
          </w:p>
        </w:tc>
        <w:tc>
          <w:tcPr>
            <w:tcW w:w="2552" w:type="dxa"/>
          </w:tcPr>
          <w:p w14:paraId="321A2B32" w14:textId="51EF06C2"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Dysfunkcje społeczne, uzależnienia i przemoc</w:t>
            </w:r>
          </w:p>
        </w:tc>
        <w:tc>
          <w:tcPr>
            <w:tcW w:w="3544" w:type="dxa"/>
          </w:tcPr>
          <w:p w14:paraId="7E17D6D2" w14:textId="0FE57D6F"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Obszar 3. Dysfunkcje społeczne, uzależnienia i przemoc. Obejmuje m.in.:</w:t>
            </w:r>
          </w:p>
          <w:p w14:paraId="73992F4C" w14:textId="79587462"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 uzależnienia i współwystępujące kryzysy społeczne,</w:t>
            </w:r>
          </w:p>
          <w:p w14:paraId="56B85DEF" w14:textId="2D5199EE"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lastRenderedPageBreak/>
              <w:t>• przemoc domową oraz interwencje podejmowane przez MGOPS,</w:t>
            </w:r>
          </w:p>
          <w:p w14:paraId="30F7EA0B" w14:textId="284B1CAC"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t>• inne problemy społeczne obserwowane w środowisku, np. konflikty, bezdomność, zachowania patologiczne.</w:t>
            </w:r>
          </w:p>
        </w:tc>
        <w:tc>
          <w:tcPr>
            <w:tcW w:w="1559" w:type="dxa"/>
          </w:tcPr>
          <w:p w14:paraId="31DA6969" w14:textId="62002FC3" w:rsidR="00EC4B90" w:rsidRPr="00F52AD8" w:rsidRDefault="00EC4B90" w:rsidP="00023CAC">
            <w:pPr>
              <w:spacing w:before="120" w:line="264" w:lineRule="auto"/>
              <w:rPr>
                <w:rFonts w:asciiTheme="minorHAnsi" w:hAnsiTheme="minorHAnsi" w:cstheme="minorHAnsi"/>
              </w:rPr>
            </w:pPr>
            <w:r w:rsidRPr="00F52AD8">
              <w:rPr>
                <w:rFonts w:asciiTheme="minorHAnsi" w:hAnsiTheme="minorHAnsi" w:cstheme="minorHAnsi"/>
              </w:rPr>
              <w:lastRenderedPageBreak/>
              <w:t>Destymulanta</w:t>
            </w:r>
          </w:p>
        </w:tc>
        <w:tc>
          <w:tcPr>
            <w:tcW w:w="1843" w:type="dxa"/>
          </w:tcPr>
          <w:p w14:paraId="230AAA94" w14:textId="38F785C9" w:rsidR="00EC4B90" w:rsidRPr="00EC4B90" w:rsidRDefault="00EC4B90" w:rsidP="00023CAC">
            <w:pPr>
              <w:spacing w:before="120" w:line="264" w:lineRule="auto"/>
              <w:rPr>
                <w:rFonts w:asciiTheme="minorHAnsi" w:hAnsiTheme="minorHAnsi" w:cstheme="minorHAnsi"/>
              </w:rPr>
            </w:pPr>
            <w:r w:rsidRPr="00F52AD8">
              <w:rPr>
                <w:rFonts w:asciiTheme="minorHAnsi" w:hAnsiTheme="minorHAnsi" w:cstheme="minorHAnsi"/>
              </w:rPr>
              <w:t>Miejsko - Gminny Ośrodek Pomocy Społecznej w Krośniewicach</w:t>
            </w:r>
            <w:r w:rsidR="00733D2A">
              <w:rPr>
                <w:rFonts w:asciiTheme="minorHAnsi" w:hAnsiTheme="minorHAnsi" w:cstheme="minorHAnsi"/>
              </w:rPr>
              <w:t xml:space="preserve"> </w:t>
            </w:r>
          </w:p>
        </w:tc>
      </w:tr>
    </w:tbl>
    <w:p w14:paraId="75A89565" w14:textId="77777777" w:rsidR="00974EBD" w:rsidRPr="00895A36" w:rsidRDefault="00974EBD" w:rsidP="00023CAC">
      <w:pPr>
        <w:spacing w:before="120" w:after="0" w:line="264" w:lineRule="auto"/>
        <w:rPr>
          <w:rFonts w:asciiTheme="minorHAnsi" w:hAnsiTheme="minorHAnsi" w:cstheme="minorHAnsi"/>
          <w:sz w:val="8"/>
          <w:szCs w:val="8"/>
        </w:rPr>
      </w:pPr>
    </w:p>
    <w:tbl>
      <w:tblPr>
        <w:tblW w:w="10065" w:type="dxa"/>
        <w:tblInd w:w="-5" w:type="dxa"/>
        <w:tblLayout w:type="fixed"/>
        <w:tblLook w:val="04A0" w:firstRow="1" w:lastRow="0" w:firstColumn="1" w:lastColumn="0" w:noHBand="0" w:noVBand="1"/>
      </w:tblPr>
      <w:tblGrid>
        <w:gridCol w:w="564"/>
        <w:gridCol w:w="2555"/>
        <w:gridCol w:w="3544"/>
        <w:gridCol w:w="1622"/>
        <w:gridCol w:w="1780"/>
      </w:tblGrid>
      <w:tr w:rsidR="00974EBD" w:rsidRPr="00974EBD" w14:paraId="25330A1C" w14:textId="77777777" w:rsidTr="00E20BBA">
        <w:tc>
          <w:tcPr>
            <w:tcW w:w="10065" w:type="dxa"/>
            <w:gridSpan w:val="5"/>
            <w:tcBorders>
              <w:top w:val="single" w:sz="4" w:space="0" w:color="000000"/>
              <w:left w:val="single" w:sz="4" w:space="0" w:color="000000"/>
              <w:bottom w:val="single" w:sz="4" w:space="0" w:color="000000"/>
              <w:right w:val="single" w:sz="4" w:space="0" w:color="000000"/>
            </w:tcBorders>
            <w:shd w:val="clear" w:color="auto" w:fill="0070C0"/>
          </w:tcPr>
          <w:p w14:paraId="5F784D1C" w14:textId="77777777" w:rsidR="00974EBD" w:rsidRPr="00974EBD" w:rsidRDefault="00974EBD" w:rsidP="00023CAC">
            <w:pPr>
              <w:widowControl w:val="0"/>
              <w:spacing w:before="120" w:after="0" w:line="264" w:lineRule="auto"/>
              <w:jc w:val="center"/>
              <w:rPr>
                <w:rFonts w:asciiTheme="minorHAnsi" w:hAnsiTheme="minorHAnsi" w:cstheme="minorHAnsi"/>
              </w:rPr>
            </w:pPr>
            <w:r w:rsidRPr="00895A36">
              <w:rPr>
                <w:rFonts w:asciiTheme="minorHAnsi" w:hAnsiTheme="minorHAnsi" w:cstheme="minorHAnsi"/>
                <w:color w:val="FFFFFF" w:themeColor="background1"/>
              </w:rPr>
              <w:t xml:space="preserve">SFERA GOSPODARCZA </w:t>
            </w:r>
          </w:p>
        </w:tc>
      </w:tr>
      <w:tr w:rsidR="00974EBD" w:rsidRPr="00974EBD" w14:paraId="71F3000A" w14:textId="77777777" w:rsidTr="002D6249">
        <w:tc>
          <w:tcPr>
            <w:tcW w:w="564" w:type="dxa"/>
            <w:tcBorders>
              <w:top w:val="single" w:sz="4" w:space="0" w:color="000000"/>
              <w:left w:val="single" w:sz="4" w:space="0" w:color="000000"/>
              <w:bottom w:val="single" w:sz="4" w:space="0" w:color="000000"/>
              <w:right w:val="single" w:sz="4" w:space="0" w:color="000000"/>
            </w:tcBorders>
          </w:tcPr>
          <w:p w14:paraId="32178CF8" w14:textId="364867A0" w:rsidR="00974EBD" w:rsidRPr="00974EBD" w:rsidRDefault="00023CAC" w:rsidP="00023CAC">
            <w:pPr>
              <w:widowControl w:val="0"/>
              <w:spacing w:before="120" w:after="0" w:line="264" w:lineRule="auto"/>
              <w:rPr>
                <w:rFonts w:asciiTheme="minorHAnsi" w:hAnsiTheme="minorHAnsi" w:cstheme="minorHAnsi"/>
              </w:rPr>
            </w:pPr>
            <w:r>
              <w:rPr>
                <w:rFonts w:asciiTheme="minorHAnsi" w:hAnsiTheme="minorHAnsi" w:cstheme="minorHAnsi"/>
              </w:rPr>
              <w:t>9</w:t>
            </w:r>
            <w:r w:rsidR="00974EBD" w:rsidRPr="00974EBD">
              <w:rPr>
                <w:rFonts w:asciiTheme="minorHAnsi" w:hAnsiTheme="minorHAnsi" w:cstheme="minorHAnsi"/>
              </w:rPr>
              <w:t>.</w:t>
            </w:r>
          </w:p>
        </w:tc>
        <w:tc>
          <w:tcPr>
            <w:tcW w:w="2555" w:type="dxa"/>
            <w:tcBorders>
              <w:top w:val="single" w:sz="4" w:space="0" w:color="000000"/>
              <w:left w:val="single" w:sz="4" w:space="0" w:color="000000"/>
              <w:bottom w:val="single" w:sz="4" w:space="0" w:color="000000"/>
              <w:right w:val="single" w:sz="4" w:space="0" w:color="000000"/>
            </w:tcBorders>
          </w:tcPr>
          <w:p w14:paraId="4C87D3CB" w14:textId="5607FA7C" w:rsidR="00974EBD" w:rsidRPr="00974EBD" w:rsidRDefault="00023CAC" w:rsidP="00023CAC">
            <w:pPr>
              <w:widowControl w:val="0"/>
              <w:spacing w:before="120" w:after="0" w:line="264" w:lineRule="auto"/>
              <w:rPr>
                <w:rFonts w:asciiTheme="minorHAnsi" w:hAnsiTheme="minorHAnsi" w:cstheme="minorHAnsi"/>
              </w:rPr>
            </w:pPr>
            <w:r w:rsidRPr="00023CAC">
              <w:rPr>
                <w:rFonts w:asciiTheme="minorHAnsi" w:hAnsiTheme="minorHAnsi" w:cstheme="minorHAnsi"/>
              </w:rPr>
              <w:t>Liczba nowych</w:t>
            </w:r>
            <w:r>
              <w:rPr>
                <w:rFonts w:asciiTheme="minorHAnsi" w:hAnsiTheme="minorHAnsi" w:cstheme="minorHAnsi"/>
              </w:rPr>
              <w:t xml:space="preserve"> </w:t>
            </w:r>
            <w:r w:rsidRPr="00023CAC">
              <w:rPr>
                <w:rFonts w:asciiTheme="minorHAnsi" w:hAnsiTheme="minorHAnsi" w:cstheme="minorHAnsi"/>
              </w:rPr>
              <w:t>zarejestrowań w CEIDG na 100 osób</w:t>
            </w:r>
          </w:p>
        </w:tc>
        <w:tc>
          <w:tcPr>
            <w:tcW w:w="3544" w:type="dxa"/>
            <w:tcBorders>
              <w:top w:val="single" w:sz="4" w:space="0" w:color="000000"/>
              <w:left w:val="single" w:sz="4" w:space="0" w:color="000000"/>
              <w:bottom w:val="single" w:sz="4" w:space="0" w:color="000000"/>
              <w:right w:val="single" w:sz="4" w:space="0" w:color="000000"/>
            </w:tcBorders>
          </w:tcPr>
          <w:p w14:paraId="11D4FA73" w14:textId="1DABCE17" w:rsidR="00974EBD" w:rsidRPr="00974EBD" w:rsidRDefault="00733D2A" w:rsidP="00023CAC">
            <w:pPr>
              <w:widowControl w:val="0"/>
              <w:spacing w:before="120" w:after="0" w:line="264" w:lineRule="auto"/>
              <w:contextualSpacing/>
              <w:rPr>
                <w:rFonts w:asciiTheme="minorHAnsi" w:hAnsiTheme="minorHAnsi" w:cstheme="minorHAnsi"/>
              </w:rPr>
            </w:pPr>
            <w:r w:rsidRPr="00733D2A">
              <w:rPr>
                <w:rFonts w:asciiTheme="minorHAnsi" w:hAnsiTheme="minorHAnsi" w:cstheme="minorHAnsi"/>
              </w:rPr>
              <w:t>Wskaźnik mierzy intensywność zakładania działalności gospodarczej w danej jednostce terytorialnej (osiedle / sołectwo) w określonym okresie (zwykle rocznym). Jako miara dynamiki przedsiębiorczości jego wzrost jest interpretowany pozytywnie: większa liczba nowych rejestracji na 100 mieszkańców świadczy o wyższej aktywności gospodarczej, lepszej zdolności do tworzenia miejsc pracy, większym potencjale innowacji i samozatrudnienia oraz o korzystniejszym klimacie lokalnym dla biznesu. Z tego względu wskaźnik pełni funkcję stymulanta — czyli cechy, której wyższe wartości są pożądane i korelują z lepszym stanem rozwoju lokalnego</w:t>
            </w:r>
          </w:p>
        </w:tc>
        <w:tc>
          <w:tcPr>
            <w:tcW w:w="1622" w:type="dxa"/>
            <w:tcBorders>
              <w:top w:val="single" w:sz="4" w:space="0" w:color="000000"/>
              <w:left w:val="single" w:sz="4" w:space="0" w:color="000000"/>
              <w:bottom w:val="single" w:sz="4" w:space="0" w:color="000000"/>
              <w:right w:val="single" w:sz="4" w:space="0" w:color="000000"/>
            </w:tcBorders>
          </w:tcPr>
          <w:p w14:paraId="3298D03D" w14:textId="59D94178" w:rsidR="00974EBD" w:rsidRPr="00974EBD" w:rsidRDefault="00733D2A" w:rsidP="00023CAC">
            <w:pPr>
              <w:widowControl w:val="0"/>
              <w:spacing w:before="120" w:after="0" w:line="264" w:lineRule="auto"/>
              <w:rPr>
                <w:rFonts w:asciiTheme="minorHAnsi" w:hAnsiTheme="minorHAnsi" w:cstheme="minorHAnsi"/>
              </w:rPr>
            </w:pPr>
            <w:r>
              <w:rPr>
                <w:rFonts w:asciiTheme="minorHAnsi" w:hAnsiTheme="minorHAnsi" w:cstheme="minorHAnsi"/>
              </w:rPr>
              <w:t xml:space="preserve">Stymulanta </w:t>
            </w:r>
            <w:r w:rsidR="00974EBD" w:rsidRPr="00974EBD">
              <w:rPr>
                <w:rFonts w:asciiTheme="minorHAnsi" w:hAnsiTheme="minorHAnsi" w:cstheme="minorHAnsi"/>
              </w:rPr>
              <w:t xml:space="preserve"> </w:t>
            </w:r>
          </w:p>
        </w:tc>
        <w:tc>
          <w:tcPr>
            <w:tcW w:w="1780" w:type="dxa"/>
            <w:tcBorders>
              <w:top w:val="single" w:sz="4" w:space="0" w:color="000000"/>
              <w:left w:val="single" w:sz="4" w:space="0" w:color="000000"/>
              <w:bottom w:val="single" w:sz="4" w:space="0" w:color="000000"/>
              <w:right w:val="single" w:sz="4" w:space="0" w:color="000000"/>
            </w:tcBorders>
          </w:tcPr>
          <w:p w14:paraId="2B79926C" w14:textId="47EE2E31" w:rsidR="00974EBD" w:rsidRPr="00974EBD" w:rsidRDefault="00974EBD" w:rsidP="00023CAC">
            <w:pPr>
              <w:widowControl w:val="0"/>
              <w:spacing w:before="120" w:after="0" w:line="264" w:lineRule="auto"/>
              <w:rPr>
                <w:rFonts w:asciiTheme="minorHAnsi" w:hAnsiTheme="minorHAnsi" w:cstheme="minorHAnsi"/>
              </w:rPr>
            </w:pPr>
            <w:r w:rsidRPr="00974EBD">
              <w:rPr>
                <w:rFonts w:asciiTheme="minorHAnsi" w:hAnsiTheme="minorHAnsi" w:cstheme="minorHAnsi"/>
              </w:rPr>
              <w:t xml:space="preserve">Urząd </w:t>
            </w:r>
            <w:r w:rsidR="00733D2A">
              <w:rPr>
                <w:rFonts w:asciiTheme="minorHAnsi" w:hAnsiTheme="minorHAnsi" w:cstheme="minorHAnsi"/>
              </w:rPr>
              <w:t xml:space="preserve">Miejski w Krośniewicach / analiza własna </w:t>
            </w:r>
          </w:p>
        </w:tc>
      </w:tr>
      <w:tr w:rsidR="00974EBD" w:rsidRPr="00974EBD" w14:paraId="16E481A7" w14:textId="77777777" w:rsidTr="002D6249">
        <w:tc>
          <w:tcPr>
            <w:tcW w:w="564" w:type="dxa"/>
            <w:tcBorders>
              <w:top w:val="single" w:sz="4" w:space="0" w:color="000000"/>
              <w:left w:val="single" w:sz="4" w:space="0" w:color="000000"/>
              <w:bottom w:val="single" w:sz="4" w:space="0" w:color="000000"/>
              <w:right w:val="single" w:sz="4" w:space="0" w:color="000000"/>
            </w:tcBorders>
          </w:tcPr>
          <w:p w14:paraId="1255726D" w14:textId="1C72CE86" w:rsidR="00974EBD" w:rsidRPr="00974EBD" w:rsidRDefault="00023CAC" w:rsidP="00023CAC">
            <w:pPr>
              <w:widowControl w:val="0"/>
              <w:spacing w:before="120" w:after="0" w:line="264" w:lineRule="auto"/>
              <w:rPr>
                <w:rFonts w:asciiTheme="minorHAnsi" w:hAnsiTheme="minorHAnsi" w:cstheme="minorHAnsi"/>
              </w:rPr>
            </w:pPr>
            <w:r>
              <w:rPr>
                <w:rFonts w:asciiTheme="minorHAnsi" w:hAnsiTheme="minorHAnsi" w:cstheme="minorHAnsi"/>
              </w:rPr>
              <w:t>10</w:t>
            </w:r>
            <w:r w:rsidR="00974EBD" w:rsidRPr="00974EBD">
              <w:rPr>
                <w:rFonts w:asciiTheme="minorHAnsi" w:hAnsiTheme="minorHAnsi" w:cstheme="minorHAnsi"/>
              </w:rPr>
              <w:t>.</w:t>
            </w:r>
          </w:p>
        </w:tc>
        <w:tc>
          <w:tcPr>
            <w:tcW w:w="2555" w:type="dxa"/>
            <w:tcBorders>
              <w:top w:val="single" w:sz="4" w:space="0" w:color="000000"/>
              <w:left w:val="single" w:sz="4" w:space="0" w:color="000000"/>
              <w:bottom w:val="single" w:sz="4" w:space="0" w:color="000000"/>
              <w:right w:val="single" w:sz="4" w:space="0" w:color="000000"/>
            </w:tcBorders>
          </w:tcPr>
          <w:p w14:paraId="73137D90" w14:textId="77777777" w:rsidR="00974EBD" w:rsidRPr="00974EBD" w:rsidRDefault="00974EBD" w:rsidP="00023CAC">
            <w:pPr>
              <w:widowControl w:val="0"/>
              <w:spacing w:before="120" w:after="0" w:line="264" w:lineRule="auto"/>
              <w:rPr>
                <w:rFonts w:asciiTheme="minorHAnsi" w:hAnsiTheme="minorHAnsi" w:cstheme="minorHAnsi"/>
              </w:rPr>
            </w:pPr>
            <w:r w:rsidRPr="00974EBD">
              <w:rPr>
                <w:rFonts w:asciiTheme="minorHAnsi" w:hAnsiTheme="minorHAnsi" w:cstheme="minorHAnsi"/>
              </w:rPr>
              <w:t xml:space="preserve">Liczba wyrejestrowań z CEIDG na 100 osób </w:t>
            </w:r>
          </w:p>
        </w:tc>
        <w:tc>
          <w:tcPr>
            <w:tcW w:w="3544" w:type="dxa"/>
            <w:tcBorders>
              <w:top w:val="single" w:sz="4" w:space="0" w:color="000000"/>
              <w:left w:val="single" w:sz="4" w:space="0" w:color="000000"/>
              <w:bottom w:val="single" w:sz="4" w:space="0" w:color="000000"/>
              <w:right w:val="single" w:sz="4" w:space="0" w:color="000000"/>
            </w:tcBorders>
          </w:tcPr>
          <w:p w14:paraId="4DC4DF78" w14:textId="77777777" w:rsidR="00974EBD" w:rsidRPr="00974EBD" w:rsidRDefault="00974EBD" w:rsidP="00023CAC">
            <w:pPr>
              <w:widowControl w:val="0"/>
              <w:spacing w:before="120" w:after="0" w:line="264" w:lineRule="auto"/>
              <w:contextualSpacing/>
              <w:rPr>
                <w:rFonts w:asciiTheme="minorHAnsi" w:hAnsiTheme="minorHAnsi" w:cstheme="minorHAnsi"/>
              </w:rPr>
            </w:pPr>
            <w:r w:rsidRPr="00974EBD">
              <w:rPr>
                <w:rFonts w:asciiTheme="minorHAnsi" w:hAnsiTheme="minorHAnsi" w:cstheme="minorHAnsi"/>
              </w:rPr>
              <w:t>Wskaźnik obrazuje potencjał lokalnej gospodarki, a w szczególności kondycję sektora MŚP, wyrażoną liczbą podmiotów wyrejestrowanych w 2024 r. z CEIDG na 100 mieszkańców danej jednostki.</w:t>
            </w:r>
          </w:p>
        </w:tc>
        <w:tc>
          <w:tcPr>
            <w:tcW w:w="1622" w:type="dxa"/>
            <w:tcBorders>
              <w:top w:val="single" w:sz="4" w:space="0" w:color="000000"/>
              <w:left w:val="single" w:sz="4" w:space="0" w:color="000000"/>
              <w:bottom w:val="single" w:sz="4" w:space="0" w:color="000000"/>
              <w:right w:val="single" w:sz="4" w:space="0" w:color="000000"/>
            </w:tcBorders>
          </w:tcPr>
          <w:p w14:paraId="14BDD6A3" w14:textId="77777777" w:rsidR="00974EBD" w:rsidRPr="00974EBD" w:rsidRDefault="00974EBD" w:rsidP="00023CAC">
            <w:pPr>
              <w:widowControl w:val="0"/>
              <w:spacing w:before="120" w:after="0" w:line="264" w:lineRule="auto"/>
              <w:rPr>
                <w:rFonts w:asciiTheme="minorHAnsi" w:hAnsiTheme="minorHAnsi" w:cstheme="minorHAnsi"/>
              </w:rPr>
            </w:pPr>
            <w:r w:rsidRPr="00974EBD">
              <w:rPr>
                <w:rFonts w:asciiTheme="minorHAnsi" w:hAnsiTheme="minorHAnsi" w:cstheme="minorHAnsi"/>
              </w:rPr>
              <w:t xml:space="preserve">Destymulanta </w:t>
            </w:r>
          </w:p>
        </w:tc>
        <w:tc>
          <w:tcPr>
            <w:tcW w:w="1780" w:type="dxa"/>
            <w:tcBorders>
              <w:top w:val="single" w:sz="4" w:space="0" w:color="000000"/>
              <w:left w:val="single" w:sz="4" w:space="0" w:color="000000"/>
              <w:bottom w:val="single" w:sz="4" w:space="0" w:color="000000"/>
              <w:right w:val="single" w:sz="4" w:space="0" w:color="000000"/>
            </w:tcBorders>
          </w:tcPr>
          <w:p w14:paraId="51DFEF19" w14:textId="052994F7" w:rsidR="00974EBD" w:rsidRPr="00974EBD" w:rsidRDefault="00733D2A" w:rsidP="00023CAC">
            <w:pPr>
              <w:widowControl w:val="0"/>
              <w:spacing w:before="120" w:after="0" w:line="264" w:lineRule="auto"/>
              <w:rPr>
                <w:rFonts w:asciiTheme="minorHAnsi" w:hAnsiTheme="minorHAnsi" w:cstheme="minorHAnsi"/>
              </w:rPr>
            </w:pPr>
            <w:r w:rsidRPr="00733D2A">
              <w:rPr>
                <w:rFonts w:asciiTheme="minorHAnsi" w:hAnsiTheme="minorHAnsi" w:cstheme="minorHAnsi"/>
              </w:rPr>
              <w:t>Urząd Miejski w Krośniewicach / analiza własna</w:t>
            </w:r>
          </w:p>
        </w:tc>
      </w:tr>
    </w:tbl>
    <w:p w14:paraId="574EA8E7" w14:textId="77777777" w:rsidR="00974EBD" w:rsidRPr="00895A36" w:rsidRDefault="00974EBD" w:rsidP="00974EBD">
      <w:pPr>
        <w:rPr>
          <w:b/>
          <w:bCs/>
          <w:sz w:val="8"/>
          <w:szCs w:val="8"/>
        </w:rPr>
      </w:pPr>
    </w:p>
    <w:tbl>
      <w:tblPr>
        <w:tblW w:w="10065" w:type="dxa"/>
        <w:tblInd w:w="-5" w:type="dxa"/>
        <w:tblLayout w:type="fixed"/>
        <w:tblLook w:val="04A0" w:firstRow="1" w:lastRow="0" w:firstColumn="1" w:lastColumn="0" w:noHBand="0" w:noVBand="1"/>
      </w:tblPr>
      <w:tblGrid>
        <w:gridCol w:w="564"/>
        <w:gridCol w:w="2535"/>
        <w:gridCol w:w="3564"/>
        <w:gridCol w:w="1622"/>
        <w:gridCol w:w="1780"/>
      </w:tblGrid>
      <w:tr w:rsidR="00974EBD" w:rsidRPr="00974EBD" w14:paraId="7CEA9202" w14:textId="77777777" w:rsidTr="00E20BBA">
        <w:tc>
          <w:tcPr>
            <w:tcW w:w="10065" w:type="dxa"/>
            <w:gridSpan w:val="5"/>
            <w:tcBorders>
              <w:top w:val="single" w:sz="4" w:space="0" w:color="000000"/>
              <w:left w:val="single" w:sz="4" w:space="0" w:color="000000"/>
              <w:bottom w:val="single" w:sz="4" w:space="0" w:color="000000"/>
              <w:right w:val="single" w:sz="4" w:space="0" w:color="000000"/>
            </w:tcBorders>
            <w:shd w:val="clear" w:color="auto" w:fill="0070C0"/>
          </w:tcPr>
          <w:p w14:paraId="7FB27976" w14:textId="77777777" w:rsidR="00974EBD" w:rsidRPr="00974EBD" w:rsidRDefault="00974EBD" w:rsidP="00974EBD">
            <w:pPr>
              <w:widowControl w:val="0"/>
              <w:spacing w:before="120" w:after="120" w:line="252" w:lineRule="auto"/>
              <w:jc w:val="center"/>
              <w:rPr>
                <w:rFonts w:cs="Calibri"/>
              </w:rPr>
            </w:pPr>
            <w:r w:rsidRPr="00895A36">
              <w:rPr>
                <w:rFonts w:cstheme="minorHAnsi"/>
                <w:color w:val="FFFFFF" w:themeColor="background1"/>
              </w:rPr>
              <w:t>SFERA ŚRODOWISKOWA</w:t>
            </w:r>
          </w:p>
        </w:tc>
      </w:tr>
      <w:tr w:rsidR="00974EBD" w:rsidRPr="00974EBD" w14:paraId="524D05E8" w14:textId="77777777" w:rsidTr="009F2B5F">
        <w:tc>
          <w:tcPr>
            <w:tcW w:w="564" w:type="dxa"/>
            <w:tcBorders>
              <w:top w:val="single" w:sz="4" w:space="0" w:color="000000"/>
              <w:left w:val="single" w:sz="4" w:space="0" w:color="000000"/>
              <w:bottom w:val="single" w:sz="4" w:space="0" w:color="000000"/>
              <w:right w:val="single" w:sz="4" w:space="0" w:color="000000"/>
            </w:tcBorders>
          </w:tcPr>
          <w:p w14:paraId="4DF05787" w14:textId="5614156D" w:rsidR="00974EBD" w:rsidRPr="00974EBD" w:rsidRDefault="00AD2D77" w:rsidP="00023CAC">
            <w:pPr>
              <w:widowControl w:val="0"/>
              <w:spacing w:before="120" w:after="0" w:line="264" w:lineRule="auto"/>
              <w:rPr>
                <w:rFonts w:cs="Calibri"/>
              </w:rPr>
            </w:pPr>
            <w:r>
              <w:rPr>
                <w:rFonts w:cstheme="minorHAnsi"/>
              </w:rPr>
              <w:t>11</w:t>
            </w:r>
            <w:r w:rsidR="00974EBD" w:rsidRPr="00974EBD">
              <w:rPr>
                <w:rFonts w:cstheme="minorHAnsi"/>
              </w:rPr>
              <w:t>.</w:t>
            </w:r>
          </w:p>
        </w:tc>
        <w:tc>
          <w:tcPr>
            <w:tcW w:w="2535" w:type="dxa"/>
            <w:tcBorders>
              <w:top w:val="single" w:sz="4" w:space="0" w:color="000000"/>
              <w:left w:val="single" w:sz="4" w:space="0" w:color="000000"/>
              <w:bottom w:val="single" w:sz="4" w:space="0" w:color="000000"/>
              <w:right w:val="single" w:sz="4" w:space="0" w:color="000000"/>
            </w:tcBorders>
          </w:tcPr>
          <w:p w14:paraId="185AB92D" w14:textId="77777777" w:rsidR="00974EBD" w:rsidRPr="00974EBD" w:rsidRDefault="00974EBD" w:rsidP="00023CAC">
            <w:pPr>
              <w:widowControl w:val="0"/>
              <w:spacing w:before="120" w:after="0" w:line="264" w:lineRule="auto"/>
              <w:rPr>
                <w:rFonts w:cs="Calibri"/>
              </w:rPr>
            </w:pPr>
            <w:r w:rsidRPr="00974EBD">
              <w:rPr>
                <w:rFonts w:cstheme="minorHAnsi"/>
              </w:rPr>
              <w:t>Wskaźnik przekroczenia standardów jakości powietrza</w:t>
            </w:r>
          </w:p>
        </w:tc>
        <w:tc>
          <w:tcPr>
            <w:tcW w:w="3564" w:type="dxa"/>
            <w:tcBorders>
              <w:top w:val="single" w:sz="4" w:space="0" w:color="000000"/>
              <w:left w:val="single" w:sz="4" w:space="0" w:color="000000"/>
              <w:bottom w:val="single" w:sz="4" w:space="0" w:color="000000"/>
              <w:right w:val="single" w:sz="4" w:space="0" w:color="000000"/>
            </w:tcBorders>
          </w:tcPr>
          <w:p w14:paraId="6B7EB2BC" w14:textId="77777777" w:rsidR="00974EBD" w:rsidRPr="00974EBD" w:rsidRDefault="00974EBD" w:rsidP="00023CAC">
            <w:pPr>
              <w:widowControl w:val="0"/>
              <w:spacing w:before="120" w:after="0" w:line="264" w:lineRule="auto"/>
              <w:rPr>
                <w:rFonts w:cs="Calibri"/>
              </w:rPr>
            </w:pPr>
            <w:r w:rsidRPr="00974EBD">
              <w:rPr>
                <w:rFonts w:cs="Calibri"/>
              </w:rPr>
              <w:t>Wskaźnik ten służy do klasyfikacji stref pod kątem jakości powietrza na podstawie wyników pomiarów i prognoz stężeń substancji zanieczyszczających, co ma wpływ na działania ochronne i planowanie polityki środowiskowej. Dane mierzone na podstawie skali jakościowej i ocen od 1 do 3.</w:t>
            </w:r>
            <w:r w:rsidRPr="00974EBD">
              <w:rPr>
                <w:rStyle w:val="Odwoanieprzypisudolnego"/>
              </w:rPr>
              <w:footnoteReference w:id="16"/>
            </w:r>
          </w:p>
        </w:tc>
        <w:tc>
          <w:tcPr>
            <w:tcW w:w="1622" w:type="dxa"/>
            <w:tcBorders>
              <w:top w:val="single" w:sz="4" w:space="0" w:color="000000"/>
              <w:left w:val="single" w:sz="4" w:space="0" w:color="000000"/>
              <w:bottom w:val="single" w:sz="4" w:space="0" w:color="000000"/>
              <w:right w:val="single" w:sz="4" w:space="0" w:color="000000"/>
            </w:tcBorders>
          </w:tcPr>
          <w:p w14:paraId="769BC9C2" w14:textId="77777777" w:rsidR="00974EBD" w:rsidRPr="00974EBD" w:rsidRDefault="00974EBD" w:rsidP="00023CAC">
            <w:pPr>
              <w:widowControl w:val="0"/>
              <w:spacing w:before="120" w:after="0" w:line="264" w:lineRule="auto"/>
              <w:rPr>
                <w:rFonts w:cs="Calibri"/>
              </w:rPr>
            </w:pPr>
            <w:r w:rsidRPr="00974EBD">
              <w:rPr>
                <w:rFonts w:cstheme="minorHAnsi"/>
              </w:rPr>
              <w:t xml:space="preserve">Destymulanta </w:t>
            </w:r>
          </w:p>
        </w:tc>
        <w:tc>
          <w:tcPr>
            <w:tcW w:w="1780" w:type="dxa"/>
            <w:tcBorders>
              <w:top w:val="single" w:sz="4" w:space="0" w:color="000000"/>
              <w:left w:val="single" w:sz="4" w:space="0" w:color="000000"/>
              <w:bottom w:val="single" w:sz="4" w:space="0" w:color="000000"/>
              <w:right w:val="single" w:sz="4" w:space="0" w:color="000000"/>
            </w:tcBorders>
          </w:tcPr>
          <w:p w14:paraId="5198143B" w14:textId="37327ED5" w:rsidR="00974EBD" w:rsidRPr="00974EBD" w:rsidRDefault="00974EBD" w:rsidP="00023CAC">
            <w:pPr>
              <w:widowControl w:val="0"/>
              <w:spacing w:before="120" w:after="0" w:line="264" w:lineRule="auto"/>
              <w:rPr>
                <w:rFonts w:cs="Calibri"/>
              </w:rPr>
            </w:pPr>
            <w:r w:rsidRPr="00974EBD">
              <w:t xml:space="preserve">Urząd </w:t>
            </w:r>
            <w:r w:rsidR="00510E42">
              <w:t xml:space="preserve">Miejski w Krośniewicach </w:t>
            </w:r>
          </w:p>
        </w:tc>
      </w:tr>
      <w:tr w:rsidR="00974EBD" w:rsidRPr="00974EBD" w14:paraId="3148CE93" w14:textId="77777777" w:rsidTr="009F2B5F">
        <w:tc>
          <w:tcPr>
            <w:tcW w:w="564" w:type="dxa"/>
            <w:tcBorders>
              <w:top w:val="single" w:sz="4" w:space="0" w:color="000000"/>
              <w:left w:val="single" w:sz="4" w:space="0" w:color="000000"/>
              <w:bottom w:val="single" w:sz="4" w:space="0" w:color="000000"/>
              <w:right w:val="single" w:sz="4" w:space="0" w:color="000000"/>
            </w:tcBorders>
          </w:tcPr>
          <w:p w14:paraId="6FE87363" w14:textId="5EF41EFA" w:rsidR="00974EBD" w:rsidRPr="00974EBD" w:rsidRDefault="00974EBD" w:rsidP="00023CAC">
            <w:pPr>
              <w:widowControl w:val="0"/>
              <w:spacing w:before="120" w:after="0" w:line="264" w:lineRule="auto"/>
              <w:rPr>
                <w:rFonts w:cs="Calibri"/>
              </w:rPr>
            </w:pPr>
            <w:r w:rsidRPr="00974EBD">
              <w:rPr>
                <w:rFonts w:cstheme="minorHAnsi"/>
              </w:rPr>
              <w:lastRenderedPageBreak/>
              <w:t>1</w:t>
            </w:r>
            <w:r w:rsidR="00AD2D77">
              <w:rPr>
                <w:rFonts w:cstheme="minorHAnsi"/>
              </w:rPr>
              <w:t>2</w:t>
            </w:r>
            <w:r w:rsidRPr="00974EBD">
              <w:rPr>
                <w:rFonts w:cstheme="minorHAnsi"/>
              </w:rPr>
              <w:t>.</w:t>
            </w:r>
          </w:p>
        </w:tc>
        <w:tc>
          <w:tcPr>
            <w:tcW w:w="2535" w:type="dxa"/>
            <w:tcBorders>
              <w:top w:val="single" w:sz="4" w:space="0" w:color="000000"/>
              <w:left w:val="single" w:sz="4" w:space="0" w:color="000000"/>
              <w:bottom w:val="single" w:sz="4" w:space="0" w:color="000000"/>
              <w:right w:val="single" w:sz="4" w:space="0" w:color="000000"/>
            </w:tcBorders>
          </w:tcPr>
          <w:p w14:paraId="439FA290" w14:textId="77777777" w:rsidR="00974EBD" w:rsidRPr="00974EBD" w:rsidRDefault="00974EBD" w:rsidP="00023CAC">
            <w:pPr>
              <w:widowControl w:val="0"/>
              <w:spacing w:before="120" w:after="0" w:line="264" w:lineRule="auto"/>
              <w:rPr>
                <w:rFonts w:cs="Calibri"/>
              </w:rPr>
            </w:pPr>
            <w:r w:rsidRPr="00974EBD">
              <w:rPr>
                <w:rFonts w:cstheme="minorHAnsi"/>
              </w:rPr>
              <w:t>Liczba kotłów do wymiany na podstawie inwentaryzacji źródeł ciepła (kotły klasy 3 i pozaklasowe) na 100 mieszkańców</w:t>
            </w:r>
          </w:p>
        </w:tc>
        <w:tc>
          <w:tcPr>
            <w:tcW w:w="3564" w:type="dxa"/>
            <w:tcBorders>
              <w:top w:val="single" w:sz="4" w:space="0" w:color="000000"/>
              <w:left w:val="single" w:sz="4" w:space="0" w:color="000000"/>
              <w:bottom w:val="single" w:sz="4" w:space="0" w:color="000000"/>
              <w:right w:val="single" w:sz="4" w:space="0" w:color="000000"/>
            </w:tcBorders>
          </w:tcPr>
          <w:p w14:paraId="5E2C430E" w14:textId="77777777" w:rsidR="00974EBD" w:rsidRPr="00974EBD" w:rsidRDefault="00974EBD" w:rsidP="00023CAC">
            <w:pPr>
              <w:widowControl w:val="0"/>
              <w:spacing w:before="120" w:after="0" w:line="264" w:lineRule="auto"/>
              <w:rPr>
                <w:rFonts w:cs="Calibri"/>
              </w:rPr>
            </w:pPr>
            <w:r w:rsidRPr="00974EBD">
              <w:rPr>
                <w:rFonts w:cstheme="minorHAnsi"/>
              </w:rPr>
              <w:t xml:space="preserve">Wskaźnik obrazuje zagrożenie dla zdrowia ludzi oraz środowiska, mierzone występowaniem źródeł ciepła wymagających wymiany tzw. kopciuchów, które powinny zostać wymienione na 100 osób danej jednostki. Dane mierzone na podstawie inwentaryzacji źródeł ciepła.  </w:t>
            </w:r>
          </w:p>
        </w:tc>
        <w:tc>
          <w:tcPr>
            <w:tcW w:w="1622" w:type="dxa"/>
            <w:tcBorders>
              <w:top w:val="single" w:sz="4" w:space="0" w:color="000000"/>
              <w:left w:val="single" w:sz="4" w:space="0" w:color="000000"/>
              <w:bottom w:val="single" w:sz="4" w:space="0" w:color="000000"/>
              <w:right w:val="single" w:sz="4" w:space="0" w:color="000000"/>
            </w:tcBorders>
          </w:tcPr>
          <w:p w14:paraId="63155AA2" w14:textId="77777777" w:rsidR="00974EBD" w:rsidRPr="00974EBD" w:rsidRDefault="00974EBD" w:rsidP="00023CAC">
            <w:pPr>
              <w:widowControl w:val="0"/>
              <w:spacing w:before="120" w:after="0" w:line="264" w:lineRule="auto"/>
              <w:rPr>
                <w:rFonts w:cs="Calibri"/>
              </w:rPr>
            </w:pPr>
            <w:r w:rsidRPr="00974EBD">
              <w:rPr>
                <w:rFonts w:cstheme="minorHAnsi"/>
              </w:rPr>
              <w:t xml:space="preserve">Destymulanta </w:t>
            </w:r>
          </w:p>
        </w:tc>
        <w:tc>
          <w:tcPr>
            <w:tcW w:w="1780" w:type="dxa"/>
            <w:tcBorders>
              <w:top w:val="single" w:sz="4" w:space="0" w:color="000000"/>
              <w:left w:val="single" w:sz="4" w:space="0" w:color="000000"/>
              <w:bottom w:val="single" w:sz="4" w:space="0" w:color="000000"/>
              <w:right w:val="single" w:sz="4" w:space="0" w:color="000000"/>
            </w:tcBorders>
          </w:tcPr>
          <w:p w14:paraId="4542DDEE" w14:textId="5F90357B" w:rsidR="00974EBD" w:rsidRPr="00974EBD" w:rsidRDefault="00974EBD" w:rsidP="00023CAC">
            <w:pPr>
              <w:widowControl w:val="0"/>
              <w:spacing w:before="120" w:after="0" w:line="264" w:lineRule="auto"/>
              <w:rPr>
                <w:rFonts w:cs="Calibri"/>
              </w:rPr>
            </w:pPr>
            <w:r w:rsidRPr="00974EBD">
              <w:t xml:space="preserve">Urząd </w:t>
            </w:r>
            <w:r w:rsidR="00510E42">
              <w:t xml:space="preserve">Miejski w Krośniewicach </w:t>
            </w:r>
          </w:p>
        </w:tc>
      </w:tr>
    </w:tbl>
    <w:p w14:paraId="5129B272" w14:textId="77777777" w:rsidR="00974EBD" w:rsidRPr="00AD2D77" w:rsidRDefault="00974EBD" w:rsidP="00974EBD">
      <w:pPr>
        <w:rPr>
          <w:b/>
          <w:bCs/>
          <w:sz w:val="10"/>
          <w:szCs w:val="10"/>
        </w:rPr>
      </w:pPr>
    </w:p>
    <w:tbl>
      <w:tblPr>
        <w:tblW w:w="10065" w:type="dxa"/>
        <w:tblInd w:w="-5" w:type="dxa"/>
        <w:tblLayout w:type="fixed"/>
        <w:tblLook w:val="04A0" w:firstRow="1" w:lastRow="0" w:firstColumn="1" w:lastColumn="0" w:noHBand="0" w:noVBand="1"/>
      </w:tblPr>
      <w:tblGrid>
        <w:gridCol w:w="564"/>
        <w:gridCol w:w="2555"/>
        <w:gridCol w:w="3686"/>
        <w:gridCol w:w="1480"/>
        <w:gridCol w:w="1780"/>
      </w:tblGrid>
      <w:tr w:rsidR="00974EBD" w:rsidRPr="00974EBD" w14:paraId="3785B98D" w14:textId="77777777" w:rsidTr="00E20BBA">
        <w:tc>
          <w:tcPr>
            <w:tcW w:w="10065" w:type="dxa"/>
            <w:gridSpan w:val="5"/>
            <w:tcBorders>
              <w:top w:val="single" w:sz="4" w:space="0" w:color="000000"/>
              <w:left w:val="single" w:sz="4" w:space="0" w:color="000000"/>
              <w:bottom w:val="single" w:sz="4" w:space="0" w:color="000000"/>
              <w:right w:val="single" w:sz="4" w:space="0" w:color="000000"/>
            </w:tcBorders>
            <w:shd w:val="clear" w:color="auto" w:fill="0070C0"/>
            <w:tcMar>
              <w:left w:w="5" w:type="dxa"/>
              <w:right w:w="5" w:type="dxa"/>
            </w:tcMar>
          </w:tcPr>
          <w:p w14:paraId="47AF9F79" w14:textId="1407CA5B" w:rsidR="00974EBD" w:rsidRPr="00974EBD" w:rsidRDefault="00974EBD" w:rsidP="00974EBD">
            <w:pPr>
              <w:widowControl w:val="0"/>
              <w:spacing w:before="120" w:after="120" w:line="252" w:lineRule="auto"/>
              <w:jc w:val="center"/>
              <w:rPr>
                <w:rFonts w:cs="Calibri"/>
              </w:rPr>
            </w:pPr>
            <w:r w:rsidRPr="00895A36">
              <w:rPr>
                <w:rFonts w:cstheme="minorHAnsi"/>
                <w:color w:val="FFFFFF" w:themeColor="background1"/>
              </w:rPr>
              <w:t>SFERA </w:t>
            </w:r>
            <w:r w:rsidR="00895A36">
              <w:rPr>
                <w:rFonts w:cstheme="minorHAnsi"/>
                <w:color w:val="FFFFFF" w:themeColor="background1"/>
              </w:rPr>
              <w:t>P</w:t>
            </w:r>
            <w:r w:rsidRPr="00895A36">
              <w:rPr>
                <w:rFonts w:cstheme="minorHAnsi"/>
                <w:color w:val="FFFFFF" w:themeColor="background1"/>
              </w:rPr>
              <w:t xml:space="preserve">RZESTRZENNO-FUNKCJONALNO-TECHNICZNA </w:t>
            </w:r>
          </w:p>
        </w:tc>
      </w:tr>
      <w:tr w:rsidR="00974EBD" w:rsidRPr="00974EBD" w14:paraId="39807F86" w14:textId="77777777" w:rsidTr="002D6249">
        <w:tc>
          <w:tcPr>
            <w:tcW w:w="564" w:type="dxa"/>
            <w:tcBorders>
              <w:top w:val="single" w:sz="4" w:space="0" w:color="000000"/>
              <w:left w:val="single" w:sz="4" w:space="0" w:color="000000"/>
              <w:bottom w:val="single" w:sz="4" w:space="0" w:color="000000"/>
              <w:right w:val="single" w:sz="4" w:space="0" w:color="000000"/>
            </w:tcBorders>
          </w:tcPr>
          <w:p w14:paraId="202C32D6" w14:textId="21325FA2" w:rsidR="00974EBD" w:rsidRPr="00974EBD" w:rsidRDefault="00974EBD" w:rsidP="00023CAC">
            <w:pPr>
              <w:widowControl w:val="0"/>
              <w:spacing w:before="120" w:after="0" w:line="264" w:lineRule="auto"/>
              <w:rPr>
                <w:rFonts w:cs="Calibri"/>
              </w:rPr>
            </w:pPr>
            <w:r w:rsidRPr="00974EBD">
              <w:rPr>
                <w:rFonts w:cstheme="minorHAnsi"/>
              </w:rPr>
              <w:t>1</w:t>
            </w:r>
            <w:r w:rsidR="00AD2D77">
              <w:rPr>
                <w:rFonts w:cstheme="minorHAnsi"/>
              </w:rPr>
              <w:t>3</w:t>
            </w:r>
            <w:r w:rsidRPr="00974EBD">
              <w:rPr>
                <w:rFonts w:cstheme="minorHAnsi"/>
              </w:rPr>
              <w:t>.</w:t>
            </w:r>
          </w:p>
        </w:tc>
        <w:tc>
          <w:tcPr>
            <w:tcW w:w="2555" w:type="dxa"/>
            <w:tcBorders>
              <w:top w:val="single" w:sz="4" w:space="0" w:color="000000"/>
              <w:left w:val="single" w:sz="4" w:space="0" w:color="000000"/>
              <w:bottom w:val="single" w:sz="4" w:space="0" w:color="000000"/>
              <w:right w:val="single" w:sz="4" w:space="0" w:color="000000"/>
            </w:tcBorders>
          </w:tcPr>
          <w:p w14:paraId="5AA702B3" w14:textId="77777777" w:rsidR="00974EBD" w:rsidRPr="00974EBD" w:rsidRDefault="00974EBD" w:rsidP="00023CAC">
            <w:pPr>
              <w:widowControl w:val="0"/>
              <w:spacing w:before="120" w:after="0" w:line="264" w:lineRule="auto"/>
              <w:rPr>
                <w:rFonts w:cs="Calibri"/>
              </w:rPr>
            </w:pPr>
            <w:r w:rsidRPr="00974EBD">
              <w:rPr>
                <w:rFonts w:cstheme="minorHAnsi"/>
              </w:rPr>
              <w:t>Liczba obiektów zabytkowych ujętych w Gminnej Ewidencji Zabytków na 100 osób</w:t>
            </w:r>
          </w:p>
          <w:p w14:paraId="541F6764" w14:textId="77777777" w:rsidR="00974EBD" w:rsidRPr="00974EBD" w:rsidRDefault="00974EBD" w:rsidP="00023CAC">
            <w:pPr>
              <w:widowControl w:val="0"/>
              <w:spacing w:before="120" w:after="0" w:line="264" w:lineRule="auto"/>
              <w:rPr>
                <w:rFonts w:cs="Calibri"/>
              </w:rPr>
            </w:pPr>
          </w:p>
        </w:tc>
        <w:tc>
          <w:tcPr>
            <w:tcW w:w="3686" w:type="dxa"/>
            <w:tcBorders>
              <w:top w:val="single" w:sz="4" w:space="0" w:color="000000"/>
              <w:left w:val="single" w:sz="4" w:space="0" w:color="000000"/>
              <w:bottom w:val="single" w:sz="4" w:space="0" w:color="000000"/>
              <w:right w:val="single" w:sz="4" w:space="0" w:color="000000"/>
            </w:tcBorders>
          </w:tcPr>
          <w:p w14:paraId="53CE436A" w14:textId="62C70594" w:rsidR="00974EBD" w:rsidRPr="00974EBD" w:rsidRDefault="00974EBD" w:rsidP="00023CAC">
            <w:pPr>
              <w:widowControl w:val="0"/>
              <w:spacing w:before="120" w:after="0" w:line="264" w:lineRule="auto"/>
              <w:rPr>
                <w:rFonts w:cs="Calibri"/>
              </w:rPr>
            </w:pPr>
            <w:r w:rsidRPr="00974EBD">
              <w:rPr>
                <w:rFonts w:cstheme="minorHAnsi"/>
              </w:rPr>
              <w:t>Wskaźnik obrazuje atrakcyjność kulturową jednostek, mierzoną rozkładem obiektów włączonych do gminnej ewidencji zabytków na 100 mieszkańców danej jednostki.</w:t>
            </w:r>
          </w:p>
        </w:tc>
        <w:tc>
          <w:tcPr>
            <w:tcW w:w="1480" w:type="dxa"/>
            <w:tcBorders>
              <w:top w:val="single" w:sz="4" w:space="0" w:color="000000"/>
              <w:left w:val="single" w:sz="4" w:space="0" w:color="000000"/>
              <w:bottom w:val="single" w:sz="4" w:space="0" w:color="000000"/>
              <w:right w:val="single" w:sz="4" w:space="0" w:color="000000"/>
            </w:tcBorders>
          </w:tcPr>
          <w:p w14:paraId="2AFD1C6A" w14:textId="77777777" w:rsidR="00974EBD" w:rsidRPr="00974EBD" w:rsidRDefault="00974EBD" w:rsidP="00023CAC">
            <w:pPr>
              <w:widowControl w:val="0"/>
              <w:spacing w:before="120" w:after="0" w:line="264" w:lineRule="auto"/>
              <w:rPr>
                <w:rFonts w:cs="Calibri"/>
              </w:rPr>
            </w:pPr>
            <w:r w:rsidRPr="00974EBD">
              <w:rPr>
                <w:rFonts w:cstheme="minorHAnsi"/>
              </w:rPr>
              <w:t>Destymulanta</w:t>
            </w:r>
          </w:p>
        </w:tc>
        <w:tc>
          <w:tcPr>
            <w:tcW w:w="1780" w:type="dxa"/>
            <w:tcBorders>
              <w:top w:val="single" w:sz="4" w:space="0" w:color="000000"/>
              <w:left w:val="single" w:sz="4" w:space="0" w:color="000000"/>
              <w:bottom w:val="single" w:sz="4" w:space="0" w:color="000000"/>
              <w:right w:val="single" w:sz="4" w:space="0" w:color="000000"/>
            </w:tcBorders>
          </w:tcPr>
          <w:p w14:paraId="4B37DF5B" w14:textId="6C6654CD" w:rsidR="00974EBD" w:rsidRPr="00974EBD" w:rsidRDefault="00974EBD" w:rsidP="00023CAC">
            <w:pPr>
              <w:widowControl w:val="0"/>
              <w:spacing w:before="120" w:after="0" w:line="264" w:lineRule="auto"/>
              <w:rPr>
                <w:rFonts w:cs="Calibri"/>
              </w:rPr>
            </w:pPr>
            <w:r w:rsidRPr="00974EBD">
              <w:rPr>
                <w:rFonts w:cs="Calibri"/>
              </w:rPr>
              <w:t xml:space="preserve">Urząd </w:t>
            </w:r>
            <w:r w:rsidR="00AD6C99" w:rsidRPr="00AD6C99">
              <w:rPr>
                <w:rFonts w:cs="Calibri"/>
              </w:rPr>
              <w:t xml:space="preserve">Miejski w Krośniewicach </w:t>
            </w:r>
          </w:p>
        </w:tc>
      </w:tr>
      <w:tr w:rsidR="00974EBD" w:rsidRPr="00974EBD" w14:paraId="046664AE" w14:textId="77777777" w:rsidTr="002D6249">
        <w:tc>
          <w:tcPr>
            <w:tcW w:w="564" w:type="dxa"/>
            <w:tcBorders>
              <w:top w:val="single" w:sz="4" w:space="0" w:color="000000"/>
              <w:left w:val="single" w:sz="4" w:space="0" w:color="000000"/>
              <w:bottom w:val="single" w:sz="4" w:space="0" w:color="000000"/>
              <w:right w:val="single" w:sz="4" w:space="0" w:color="000000"/>
            </w:tcBorders>
          </w:tcPr>
          <w:p w14:paraId="11A90CE0" w14:textId="19842C76" w:rsidR="00974EBD" w:rsidRPr="00974EBD" w:rsidRDefault="00974EBD" w:rsidP="00023CAC">
            <w:pPr>
              <w:widowControl w:val="0"/>
              <w:spacing w:before="120" w:after="0" w:line="264" w:lineRule="auto"/>
              <w:rPr>
                <w:rFonts w:cstheme="minorHAnsi"/>
              </w:rPr>
            </w:pPr>
            <w:r w:rsidRPr="00974EBD">
              <w:rPr>
                <w:rFonts w:cstheme="minorHAnsi"/>
              </w:rPr>
              <w:t>1</w:t>
            </w:r>
            <w:r w:rsidR="00AD2D77">
              <w:rPr>
                <w:rFonts w:cstheme="minorHAnsi"/>
              </w:rPr>
              <w:t>4</w:t>
            </w:r>
            <w:r w:rsidRPr="00974EBD">
              <w:rPr>
                <w:rFonts w:cstheme="minorHAnsi"/>
              </w:rPr>
              <w:t>.</w:t>
            </w:r>
          </w:p>
        </w:tc>
        <w:tc>
          <w:tcPr>
            <w:tcW w:w="2555" w:type="dxa"/>
            <w:tcBorders>
              <w:top w:val="single" w:sz="4" w:space="0" w:color="000000"/>
              <w:left w:val="single" w:sz="4" w:space="0" w:color="000000"/>
              <w:bottom w:val="single" w:sz="4" w:space="0" w:color="000000"/>
              <w:right w:val="single" w:sz="4" w:space="0" w:color="000000"/>
            </w:tcBorders>
          </w:tcPr>
          <w:p w14:paraId="1D5FB502" w14:textId="77777777" w:rsidR="00974EBD" w:rsidRPr="00974EBD" w:rsidRDefault="00974EBD" w:rsidP="00023CAC">
            <w:pPr>
              <w:widowControl w:val="0"/>
              <w:spacing w:before="120" w:after="0" w:line="264" w:lineRule="auto"/>
              <w:rPr>
                <w:rFonts w:cstheme="minorHAnsi"/>
              </w:rPr>
            </w:pPr>
            <w:r w:rsidRPr="00974EBD">
              <w:rPr>
                <w:rFonts w:cstheme="minorHAnsi"/>
              </w:rPr>
              <w:t>Wskaźnik stanu infrastruktury drogowej</w:t>
            </w:r>
          </w:p>
        </w:tc>
        <w:tc>
          <w:tcPr>
            <w:tcW w:w="3686" w:type="dxa"/>
            <w:tcBorders>
              <w:top w:val="single" w:sz="4" w:space="0" w:color="000000"/>
              <w:left w:val="single" w:sz="4" w:space="0" w:color="000000"/>
              <w:bottom w:val="single" w:sz="4" w:space="0" w:color="000000"/>
              <w:right w:val="single" w:sz="4" w:space="0" w:color="000000"/>
            </w:tcBorders>
          </w:tcPr>
          <w:p w14:paraId="7BAFDA13" w14:textId="77777777" w:rsidR="00974EBD" w:rsidRPr="00974EBD" w:rsidRDefault="00974EBD" w:rsidP="00023CAC">
            <w:pPr>
              <w:spacing w:before="120" w:after="0" w:line="264" w:lineRule="auto"/>
            </w:pPr>
            <w:r w:rsidRPr="00974EBD">
              <w:rPr>
                <w:rFonts w:cstheme="minorHAnsi"/>
              </w:rPr>
              <w:t>Wskaźnik stanu infrastruktury drogowej to syntetyczna miara umożliwiająca ocenę jakości nawierzchni oraz utrzymania infrastruktury drogowej na terenie danej jednostki administracyjnej (np. gminy, sołectwa, ulicy). Wskaźnik ten opiera się na systematycznej, eksperckiej ocenie wizualnej oraz technicznej stanu dróg publicznych wymagających albo nie wymagających pilnych nakładów inwestycyjnych i remontowych.</w:t>
            </w:r>
            <w:r w:rsidRPr="00974EBD">
              <w:rPr>
                <w:rStyle w:val="Odwoanieprzypisudolnego"/>
              </w:rPr>
              <w:footnoteReference w:id="17"/>
            </w:r>
          </w:p>
        </w:tc>
        <w:tc>
          <w:tcPr>
            <w:tcW w:w="1480" w:type="dxa"/>
            <w:tcBorders>
              <w:top w:val="single" w:sz="4" w:space="0" w:color="000000"/>
              <w:left w:val="single" w:sz="4" w:space="0" w:color="000000"/>
              <w:bottom w:val="single" w:sz="4" w:space="0" w:color="000000"/>
              <w:right w:val="single" w:sz="4" w:space="0" w:color="000000"/>
            </w:tcBorders>
          </w:tcPr>
          <w:p w14:paraId="244E0EA1" w14:textId="77777777" w:rsidR="00974EBD" w:rsidRPr="00974EBD" w:rsidRDefault="00974EBD" w:rsidP="00023CAC">
            <w:pPr>
              <w:widowControl w:val="0"/>
              <w:spacing w:before="120" w:after="0" w:line="264" w:lineRule="auto"/>
              <w:rPr>
                <w:rFonts w:cstheme="minorHAnsi"/>
              </w:rPr>
            </w:pPr>
            <w:r w:rsidRPr="00974EBD">
              <w:t>Destymulanta</w:t>
            </w:r>
          </w:p>
        </w:tc>
        <w:tc>
          <w:tcPr>
            <w:tcW w:w="1780" w:type="dxa"/>
            <w:tcBorders>
              <w:top w:val="single" w:sz="4" w:space="0" w:color="000000"/>
              <w:left w:val="single" w:sz="4" w:space="0" w:color="000000"/>
              <w:bottom w:val="single" w:sz="4" w:space="0" w:color="000000"/>
              <w:right w:val="single" w:sz="4" w:space="0" w:color="000000"/>
            </w:tcBorders>
          </w:tcPr>
          <w:p w14:paraId="6193F68D" w14:textId="093D31AC" w:rsidR="00974EBD" w:rsidRPr="00974EBD" w:rsidRDefault="00733D2A" w:rsidP="00023CAC">
            <w:pPr>
              <w:widowControl w:val="0"/>
              <w:spacing w:before="120" w:after="0" w:line="264" w:lineRule="auto"/>
              <w:rPr>
                <w:rFonts w:cs="Calibri"/>
              </w:rPr>
            </w:pPr>
            <w:r w:rsidRPr="00974EBD">
              <w:rPr>
                <w:rFonts w:asciiTheme="minorHAnsi" w:hAnsiTheme="minorHAnsi" w:cstheme="minorHAnsi"/>
              </w:rPr>
              <w:t xml:space="preserve">Urząd </w:t>
            </w:r>
            <w:r>
              <w:rPr>
                <w:rFonts w:asciiTheme="minorHAnsi" w:hAnsiTheme="minorHAnsi" w:cstheme="minorHAnsi"/>
              </w:rPr>
              <w:t>Miejski w Krośniewicach / analiza własna</w:t>
            </w:r>
          </w:p>
        </w:tc>
      </w:tr>
      <w:tr w:rsidR="00974EBD" w:rsidRPr="00974EBD" w14:paraId="4D0F12C0" w14:textId="77777777" w:rsidTr="002D6249">
        <w:tc>
          <w:tcPr>
            <w:tcW w:w="564" w:type="dxa"/>
            <w:tcBorders>
              <w:top w:val="single" w:sz="4" w:space="0" w:color="000000"/>
              <w:left w:val="single" w:sz="4" w:space="0" w:color="000000"/>
              <w:bottom w:val="single" w:sz="4" w:space="0" w:color="000000"/>
              <w:right w:val="single" w:sz="4" w:space="0" w:color="000000"/>
            </w:tcBorders>
          </w:tcPr>
          <w:p w14:paraId="67311870" w14:textId="6BB547D3" w:rsidR="00974EBD" w:rsidRPr="00974EBD" w:rsidRDefault="00974EBD" w:rsidP="008C062A">
            <w:pPr>
              <w:widowControl w:val="0"/>
              <w:spacing w:line="252" w:lineRule="auto"/>
              <w:rPr>
                <w:rFonts w:cstheme="minorHAnsi"/>
              </w:rPr>
            </w:pPr>
            <w:r w:rsidRPr="00974EBD">
              <w:rPr>
                <w:rFonts w:cstheme="minorHAnsi"/>
              </w:rPr>
              <w:lastRenderedPageBreak/>
              <w:t>1</w:t>
            </w:r>
            <w:r w:rsidR="00AD2D77">
              <w:rPr>
                <w:rFonts w:cstheme="minorHAnsi"/>
              </w:rPr>
              <w:t>5</w:t>
            </w:r>
            <w:r w:rsidRPr="00974EBD">
              <w:rPr>
                <w:rFonts w:cstheme="minorHAnsi"/>
              </w:rPr>
              <w:t>.</w:t>
            </w:r>
          </w:p>
        </w:tc>
        <w:tc>
          <w:tcPr>
            <w:tcW w:w="2555" w:type="dxa"/>
            <w:tcBorders>
              <w:top w:val="single" w:sz="4" w:space="0" w:color="000000"/>
              <w:left w:val="single" w:sz="4" w:space="0" w:color="000000"/>
              <w:bottom w:val="single" w:sz="4" w:space="0" w:color="000000"/>
              <w:right w:val="single" w:sz="4" w:space="0" w:color="000000"/>
            </w:tcBorders>
          </w:tcPr>
          <w:p w14:paraId="6183677D" w14:textId="77777777" w:rsidR="00974EBD" w:rsidRPr="00974EBD" w:rsidRDefault="00974EBD" w:rsidP="008C062A">
            <w:pPr>
              <w:widowControl w:val="0"/>
              <w:spacing w:line="252" w:lineRule="auto"/>
              <w:rPr>
                <w:rFonts w:cstheme="minorHAnsi"/>
              </w:rPr>
            </w:pPr>
            <w:r w:rsidRPr="00974EBD">
              <w:rPr>
                <w:rFonts w:cstheme="minorHAnsi"/>
              </w:rPr>
              <w:t>Wskaźnik poziomu zdegradowania terenów zieleni publicznej</w:t>
            </w:r>
          </w:p>
        </w:tc>
        <w:tc>
          <w:tcPr>
            <w:tcW w:w="3686" w:type="dxa"/>
            <w:tcBorders>
              <w:top w:val="single" w:sz="4" w:space="0" w:color="000000"/>
              <w:left w:val="single" w:sz="4" w:space="0" w:color="000000"/>
              <w:bottom w:val="single" w:sz="4" w:space="0" w:color="000000"/>
              <w:right w:val="single" w:sz="4" w:space="0" w:color="000000"/>
            </w:tcBorders>
          </w:tcPr>
          <w:p w14:paraId="09260858" w14:textId="77777777" w:rsidR="00974EBD" w:rsidRPr="00974EBD" w:rsidRDefault="00974EBD" w:rsidP="008C062A">
            <w:pPr>
              <w:widowControl w:val="0"/>
              <w:spacing w:line="252" w:lineRule="auto"/>
              <w:rPr>
                <w:rFonts w:cstheme="minorHAnsi"/>
              </w:rPr>
            </w:pPr>
            <w:r w:rsidRPr="00974EBD">
              <w:rPr>
                <w:rFonts w:cstheme="minorHAnsi"/>
              </w:rPr>
              <w:t>Wskaźnik poziomu zdegradowania terenów zieleni publicznej to jakościowa miara oceniająca stan i funkcjonalność terenów zielonych w obszarze danej jednostki administracyjnej (np. gminy, sołectwa). Ocena dokonywana jest w czterostopniowej skali, obrazującej poziom utrzymania i wykorzystania tych terenów w funkcji społecznej, rekreacyjnej i ekologicznej.</w:t>
            </w:r>
            <w:r w:rsidRPr="00974EBD">
              <w:rPr>
                <w:rStyle w:val="Odwoanieprzypisudolnego"/>
              </w:rPr>
              <w:footnoteReference w:id="18"/>
            </w:r>
          </w:p>
        </w:tc>
        <w:tc>
          <w:tcPr>
            <w:tcW w:w="1480" w:type="dxa"/>
            <w:tcBorders>
              <w:top w:val="single" w:sz="4" w:space="0" w:color="000000"/>
              <w:left w:val="single" w:sz="4" w:space="0" w:color="000000"/>
              <w:bottom w:val="single" w:sz="4" w:space="0" w:color="000000"/>
              <w:right w:val="single" w:sz="4" w:space="0" w:color="000000"/>
            </w:tcBorders>
          </w:tcPr>
          <w:p w14:paraId="131ADAF5" w14:textId="77777777" w:rsidR="00974EBD" w:rsidRPr="00974EBD" w:rsidRDefault="00974EBD" w:rsidP="008C062A">
            <w:pPr>
              <w:widowControl w:val="0"/>
              <w:spacing w:line="252" w:lineRule="auto"/>
            </w:pPr>
            <w:r w:rsidRPr="00974EBD">
              <w:t xml:space="preserve">Destymulanta </w:t>
            </w:r>
          </w:p>
        </w:tc>
        <w:tc>
          <w:tcPr>
            <w:tcW w:w="1780" w:type="dxa"/>
            <w:tcBorders>
              <w:top w:val="single" w:sz="4" w:space="0" w:color="000000"/>
              <w:left w:val="single" w:sz="4" w:space="0" w:color="000000"/>
              <w:bottom w:val="single" w:sz="4" w:space="0" w:color="000000"/>
              <w:right w:val="single" w:sz="4" w:space="0" w:color="000000"/>
            </w:tcBorders>
          </w:tcPr>
          <w:p w14:paraId="084EAB52" w14:textId="374B8E3F" w:rsidR="00974EBD" w:rsidRPr="00974EBD" w:rsidRDefault="00733D2A" w:rsidP="008C062A">
            <w:pPr>
              <w:widowControl w:val="0"/>
              <w:spacing w:line="252" w:lineRule="auto"/>
            </w:pPr>
            <w:r w:rsidRPr="00974EBD">
              <w:rPr>
                <w:rFonts w:asciiTheme="minorHAnsi" w:hAnsiTheme="minorHAnsi" w:cstheme="minorHAnsi"/>
              </w:rPr>
              <w:t xml:space="preserve">Urząd </w:t>
            </w:r>
            <w:r>
              <w:rPr>
                <w:rFonts w:asciiTheme="minorHAnsi" w:hAnsiTheme="minorHAnsi" w:cstheme="minorHAnsi"/>
              </w:rPr>
              <w:t>Miejski w Krośniewicach / analiza własna</w:t>
            </w:r>
          </w:p>
        </w:tc>
      </w:tr>
      <w:tr w:rsidR="00974EBD" w:rsidRPr="00974EBD" w14:paraId="494CB745" w14:textId="77777777" w:rsidTr="002D6249">
        <w:tc>
          <w:tcPr>
            <w:tcW w:w="564" w:type="dxa"/>
            <w:tcBorders>
              <w:top w:val="single" w:sz="4" w:space="0" w:color="000000"/>
              <w:left w:val="single" w:sz="4" w:space="0" w:color="000000"/>
              <w:bottom w:val="single" w:sz="4" w:space="0" w:color="000000"/>
              <w:right w:val="single" w:sz="4" w:space="0" w:color="000000"/>
            </w:tcBorders>
          </w:tcPr>
          <w:p w14:paraId="564F1ECC" w14:textId="7712E545" w:rsidR="00974EBD" w:rsidRPr="00CB7C2D" w:rsidRDefault="00974EBD" w:rsidP="008C062A">
            <w:pPr>
              <w:widowControl w:val="0"/>
              <w:spacing w:line="252" w:lineRule="auto"/>
              <w:rPr>
                <w:rFonts w:cstheme="minorHAnsi"/>
              </w:rPr>
            </w:pPr>
            <w:r w:rsidRPr="00CB7C2D">
              <w:rPr>
                <w:rFonts w:cstheme="minorHAnsi"/>
              </w:rPr>
              <w:t>1</w:t>
            </w:r>
            <w:r w:rsidR="00AD2D77">
              <w:rPr>
                <w:rFonts w:cstheme="minorHAnsi"/>
              </w:rPr>
              <w:t>6</w:t>
            </w:r>
            <w:r w:rsidRPr="00CB7C2D">
              <w:rPr>
                <w:rFonts w:cstheme="minorHAnsi"/>
              </w:rPr>
              <w:t>.</w:t>
            </w:r>
          </w:p>
        </w:tc>
        <w:tc>
          <w:tcPr>
            <w:tcW w:w="2555" w:type="dxa"/>
            <w:tcBorders>
              <w:top w:val="single" w:sz="4" w:space="0" w:color="000000"/>
              <w:left w:val="single" w:sz="4" w:space="0" w:color="000000"/>
              <w:bottom w:val="single" w:sz="4" w:space="0" w:color="000000"/>
              <w:right w:val="single" w:sz="4" w:space="0" w:color="000000"/>
            </w:tcBorders>
          </w:tcPr>
          <w:p w14:paraId="345D6A27" w14:textId="5C1C5266" w:rsidR="00974EBD" w:rsidRPr="00CB7C2D" w:rsidRDefault="00974EBD" w:rsidP="008C062A">
            <w:pPr>
              <w:widowControl w:val="0"/>
              <w:spacing w:line="252" w:lineRule="auto"/>
              <w:rPr>
                <w:rFonts w:cstheme="minorHAnsi"/>
              </w:rPr>
            </w:pPr>
            <w:r w:rsidRPr="00CB7C2D">
              <w:rPr>
                <w:rFonts w:cstheme="minorHAnsi"/>
              </w:rPr>
              <w:t xml:space="preserve">Liczba zdarzeń drogowych na 100 </w:t>
            </w:r>
            <w:r w:rsidR="00515CA7" w:rsidRPr="00CB7C2D">
              <w:rPr>
                <w:rFonts w:cstheme="minorHAnsi"/>
              </w:rPr>
              <w:t>osób</w:t>
            </w:r>
          </w:p>
        </w:tc>
        <w:tc>
          <w:tcPr>
            <w:tcW w:w="3686" w:type="dxa"/>
            <w:tcBorders>
              <w:top w:val="single" w:sz="4" w:space="0" w:color="000000"/>
              <w:left w:val="single" w:sz="4" w:space="0" w:color="000000"/>
              <w:bottom w:val="single" w:sz="4" w:space="0" w:color="000000"/>
              <w:right w:val="single" w:sz="4" w:space="0" w:color="000000"/>
            </w:tcBorders>
          </w:tcPr>
          <w:p w14:paraId="7EBE1F2C" w14:textId="77777777" w:rsidR="00974EBD" w:rsidRPr="00CB7C2D" w:rsidRDefault="00974EBD" w:rsidP="008C062A">
            <w:pPr>
              <w:widowControl w:val="0"/>
              <w:spacing w:line="252" w:lineRule="auto"/>
              <w:rPr>
                <w:rFonts w:cstheme="minorHAnsi"/>
              </w:rPr>
            </w:pPr>
            <w:r w:rsidRPr="00CB7C2D">
              <w:rPr>
                <w:rFonts w:cstheme="minorHAnsi"/>
              </w:rPr>
              <w:t xml:space="preserve">Dane pokazują informację o kolizjach drogowych (zdarzeń) mających miejsce na drogach publicznych, w strefach zamieszkania lub strefach ruchu wskazując miejsca natężenia problemów bezpieczeństwa w ruchu drogowym </w:t>
            </w:r>
          </w:p>
        </w:tc>
        <w:tc>
          <w:tcPr>
            <w:tcW w:w="1480" w:type="dxa"/>
            <w:tcBorders>
              <w:top w:val="single" w:sz="4" w:space="0" w:color="000000"/>
              <w:left w:val="single" w:sz="4" w:space="0" w:color="000000"/>
              <w:bottom w:val="single" w:sz="4" w:space="0" w:color="000000"/>
              <w:right w:val="single" w:sz="4" w:space="0" w:color="000000"/>
            </w:tcBorders>
          </w:tcPr>
          <w:p w14:paraId="5EBEE659" w14:textId="77777777" w:rsidR="00974EBD" w:rsidRPr="00CB7C2D" w:rsidRDefault="00974EBD" w:rsidP="008C062A">
            <w:pPr>
              <w:widowControl w:val="0"/>
              <w:spacing w:line="252" w:lineRule="auto"/>
            </w:pPr>
            <w:r w:rsidRPr="00CB7C2D">
              <w:t xml:space="preserve">Destymulanta </w:t>
            </w:r>
          </w:p>
        </w:tc>
        <w:tc>
          <w:tcPr>
            <w:tcW w:w="1780" w:type="dxa"/>
            <w:tcBorders>
              <w:top w:val="single" w:sz="4" w:space="0" w:color="000000"/>
              <w:left w:val="single" w:sz="4" w:space="0" w:color="000000"/>
              <w:bottom w:val="single" w:sz="4" w:space="0" w:color="000000"/>
              <w:right w:val="single" w:sz="4" w:space="0" w:color="000000"/>
            </w:tcBorders>
          </w:tcPr>
          <w:p w14:paraId="5C97DED7" w14:textId="59CE23D1" w:rsidR="00974EBD" w:rsidRPr="00974EBD" w:rsidRDefault="00974EBD" w:rsidP="008C062A">
            <w:pPr>
              <w:widowControl w:val="0"/>
              <w:spacing w:line="252" w:lineRule="auto"/>
            </w:pPr>
            <w:r w:rsidRPr="00CB7C2D">
              <w:t xml:space="preserve">Komisariat Policji w </w:t>
            </w:r>
            <w:r w:rsidR="00510E42" w:rsidRPr="00CB7C2D">
              <w:t>Krośniewicach</w:t>
            </w:r>
            <w:r w:rsidR="00510E42">
              <w:t xml:space="preserve"> </w:t>
            </w:r>
            <w:r w:rsidRPr="00974EBD">
              <w:t xml:space="preserve"> </w:t>
            </w:r>
          </w:p>
        </w:tc>
      </w:tr>
      <w:tr w:rsidR="00974EBD" w:rsidRPr="00974EBD" w14:paraId="3EC4DD7D" w14:textId="77777777" w:rsidTr="002D6249">
        <w:tc>
          <w:tcPr>
            <w:tcW w:w="564" w:type="dxa"/>
            <w:tcBorders>
              <w:top w:val="single" w:sz="4" w:space="0" w:color="000000"/>
              <w:left w:val="single" w:sz="4" w:space="0" w:color="000000"/>
              <w:bottom w:val="single" w:sz="4" w:space="0" w:color="000000"/>
              <w:right w:val="single" w:sz="4" w:space="0" w:color="000000"/>
            </w:tcBorders>
          </w:tcPr>
          <w:p w14:paraId="1F1FB1C1" w14:textId="36B8A180" w:rsidR="00974EBD" w:rsidRPr="00974EBD" w:rsidRDefault="00974EBD" w:rsidP="008C062A">
            <w:pPr>
              <w:widowControl w:val="0"/>
              <w:spacing w:line="252" w:lineRule="auto"/>
              <w:rPr>
                <w:rFonts w:cstheme="minorHAnsi"/>
              </w:rPr>
            </w:pPr>
            <w:r w:rsidRPr="00974EBD">
              <w:rPr>
                <w:rFonts w:cstheme="minorHAnsi"/>
              </w:rPr>
              <w:t>1</w:t>
            </w:r>
            <w:r w:rsidR="00AD2D77">
              <w:rPr>
                <w:rFonts w:cstheme="minorHAnsi"/>
              </w:rPr>
              <w:t>7</w:t>
            </w:r>
            <w:r w:rsidRPr="00974EBD">
              <w:rPr>
                <w:rFonts w:cstheme="minorHAnsi"/>
              </w:rPr>
              <w:t>.</w:t>
            </w:r>
          </w:p>
        </w:tc>
        <w:tc>
          <w:tcPr>
            <w:tcW w:w="2555" w:type="dxa"/>
            <w:tcBorders>
              <w:top w:val="single" w:sz="4" w:space="0" w:color="000000"/>
              <w:left w:val="single" w:sz="4" w:space="0" w:color="000000"/>
              <w:bottom w:val="single" w:sz="4" w:space="0" w:color="000000"/>
              <w:right w:val="single" w:sz="4" w:space="0" w:color="000000"/>
            </w:tcBorders>
          </w:tcPr>
          <w:p w14:paraId="1DF2EADE" w14:textId="77777777" w:rsidR="00974EBD" w:rsidRPr="00974EBD" w:rsidRDefault="00974EBD" w:rsidP="008C062A">
            <w:pPr>
              <w:widowControl w:val="0"/>
              <w:spacing w:line="252" w:lineRule="auto"/>
              <w:rPr>
                <w:rFonts w:cstheme="minorHAnsi"/>
              </w:rPr>
            </w:pPr>
            <w:r w:rsidRPr="00974EBD">
              <w:rPr>
                <w:rFonts w:cstheme="minorHAnsi"/>
              </w:rPr>
              <w:t>Wskaźnik degradacji stanu obiektów budowlanych o przeznaczeniu mieszkalnym</w:t>
            </w:r>
          </w:p>
        </w:tc>
        <w:tc>
          <w:tcPr>
            <w:tcW w:w="3686" w:type="dxa"/>
            <w:tcBorders>
              <w:top w:val="single" w:sz="4" w:space="0" w:color="000000"/>
              <w:left w:val="single" w:sz="4" w:space="0" w:color="000000"/>
              <w:bottom w:val="single" w:sz="4" w:space="0" w:color="000000"/>
              <w:right w:val="single" w:sz="4" w:space="0" w:color="000000"/>
            </w:tcBorders>
          </w:tcPr>
          <w:p w14:paraId="0B291181" w14:textId="77777777" w:rsidR="00974EBD" w:rsidRPr="00974EBD" w:rsidRDefault="00974EBD" w:rsidP="008C062A">
            <w:pPr>
              <w:widowControl w:val="0"/>
              <w:spacing w:line="252" w:lineRule="auto"/>
              <w:rPr>
                <w:rFonts w:cstheme="minorHAnsi"/>
              </w:rPr>
            </w:pPr>
            <w:r w:rsidRPr="00974EBD">
              <w:rPr>
                <w:rFonts w:cstheme="minorHAnsi"/>
              </w:rPr>
              <w:t>Udział budynków mieszkalnych w złym lub bardzo złym stanie technicznym w stosunku do ogólnej liczby budynków mieszkalnych. Wskaźnik wyraża procentowy udział budynków mieszkalnych znajdujących się w złym lub bardzo złym stanie technicznym w stosunku do ogólnej liczby obiektów mieszkalnych na danym obszarze badawczym. Rejestruje fizyczne i funkcjonalne zużycie infrastruktury mieszkaniowej wpływające negatywnie na warunki zamieszkania i jakość życia mieszkańców.</w:t>
            </w:r>
            <w:r w:rsidRPr="00974EBD">
              <w:t xml:space="preserve"> </w:t>
            </w:r>
            <w:r w:rsidRPr="00974EBD">
              <w:rPr>
                <w:rFonts w:cstheme="minorHAnsi"/>
              </w:rPr>
              <w:t xml:space="preserve">Wskaźnik jest traktowany jako destymulanta </w:t>
            </w:r>
            <w:r w:rsidRPr="00974EBD">
              <w:rPr>
                <w:rFonts w:cstheme="minorHAnsi"/>
              </w:rPr>
              <w:lastRenderedPageBreak/>
              <w:t>(wzrost wartości oznacza pogorszenie stanu zdegradowania obszaru. Źródło danych: gminna ewidencja nieruchomości, rejestry zarządców budynków komunalnych, ewidencje wspólnot i spółdzielni mieszkaniowych, powiatowe lub gminne służby nadzoru budowlanego. Ocena w skali binarnej 1-3</w:t>
            </w:r>
            <w:r w:rsidRPr="00974EBD">
              <w:rPr>
                <w:rStyle w:val="Odwoanieprzypisudolnego"/>
              </w:rPr>
              <w:footnoteReference w:id="19"/>
            </w:r>
            <w:r w:rsidRPr="00974EBD">
              <w:rPr>
                <w:rFonts w:cstheme="minorHAnsi"/>
              </w:rPr>
              <w:t>.</w:t>
            </w:r>
            <w:r w:rsidRPr="00974EBD">
              <w:t xml:space="preserve"> </w:t>
            </w:r>
          </w:p>
        </w:tc>
        <w:tc>
          <w:tcPr>
            <w:tcW w:w="1480" w:type="dxa"/>
            <w:tcBorders>
              <w:top w:val="single" w:sz="4" w:space="0" w:color="000000"/>
              <w:left w:val="single" w:sz="4" w:space="0" w:color="000000"/>
              <w:bottom w:val="single" w:sz="4" w:space="0" w:color="000000"/>
              <w:right w:val="single" w:sz="4" w:space="0" w:color="000000"/>
            </w:tcBorders>
          </w:tcPr>
          <w:p w14:paraId="419146F3" w14:textId="77777777" w:rsidR="00974EBD" w:rsidRPr="00974EBD" w:rsidRDefault="00974EBD" w:rsidP="008C062A">
            <w:pPr>
              <w:widowControl w:val="0"/>
              <w:spacing w:line="252" w:lineRule="auto"/>
            </w:pPr>
            <w:r w:rsidRPr="00974EBD">
              <w:lastRenderedPageBreak/>
              <w:t xml:space="preserve">Destymulanta </w:t>
            </w:r>
          </w:p>
        </w:tc>
        <w:tc>
          <w:tcPr>
            <w:tcW w:w="1780" w:type="dxa"/>
            <w:tcBorders>
              <w:top w:val="single" w:sz="4" w:space="0" w:color="000000"/>
              <w:left w:val="single" w:sz="4" w:space="0" w:color="000000"/>
              <w:bottom w:val="single" w:sz="4" w:space="0" w:color="000000"/>
              <w:right w:val="single" w:sz="4" w:space="0" w:color="000000"/>
            </w:tcBorders>
          </w:tcPr>
          <w:p w14:paraId="7D5B9DE2" w14:textId="3A7ECE5D" w:rsidR="00974EBD" w:rsidRPr="00974EBD" w:rsidRDefault="00733D2A" w:rsidP="008C062A">
            <w:pPr>
              <w:widowControl w:val="0"/>
              <w:spacing w:line="252" w:lineRule="auto"/>
            </w:pPr>
            <w:r w:rsidRPr="00733D2A">
              <w:t>Urząd Miejski w Krośniewicach / analiza własna</w:t>
            </w:r>
          </w:p>
        </w:tc>
      </w:tr>
      <w:tr w:rsidR="00974EBD" w:rsidRPr="00974EBD" w14:paraId="20E4C1A2" w14:textId="77777777" w:rsidTr="002D6249">
        <w:tc>
          <w:tcPr>
            <w:tcW w:w="564" w:type="dxa"/>
            <w:tcBorders>
              <w:top w:val="single" w:sz="4" w:space="0" w:color="000000"/>
              <w:left w:val="single" w:sz="4" w:space="0" w:color="000000"/>
              <w:bottom w:val="single" w:sz="4" w:space="0" w:color="000000"/>
              <w:right w:val="single" w:sz="4" w:space="0" w:color="000000"/>
            </w:tcBorders>
          </w:tcPr>
          <w:p w14:paraId="2171DDF4" w14:textId="1944E8DC" w:rsidR="00974EBD" w:rsidRPr="00974EBD" w:rsidRDefault="00974EBD" w:rsidP="008C062A">
            <w:pPr>
              <w:widowControl w:val="0"/>
              <w:spacing w:line="252" w:lineRule="auto"/>
              <w:rPr>
                <w:rFonts w:cstheme="minorHAnsi"/>
              </w:rPr>
            </w:pPr>
            <w:r w:rsidRPr="00974EBD">
              <w:rPr>
                <w:rFonts w:cstheme="minorHAnsi"/>
              </w:rPr>
              <w:t>1</w:t>
            </w:r>
            <w:r w:rsidR="00AD2D77">
              <w:rPr>
                <w:rFonts w:cstheme="minorHAnsi"/>
              </w:rPr>
              <w:t>8</w:t>
            </w:r>
            <w:r w:rsidRPr="00974EBD">
              <w:rPr>
                <w:rFonts w:cstheme="minorHAnsi"/>
              </w:rPr>
              <w:t>.</w:t>
            </w:r>
          </w:p>
        </w:tc>
        <w:tc>
          <w:tcPr>
            <w:tcW w:w="2555" w:type="dxa"/>
            <w:tcBorders>
              <w:top w:val="single" w:sz="4" w:space="0" w:color="000000"/>
              <w:left w:val="single" w:sz="4" w:space="0" w:color="000000"/>
              <w:bottom w:val="single" w:sz="4" w:space="0" w:color="000000"/>
              <w:right w:val="single" w:sz="4" w:space="0" w:color="000000"/>
            </w:tcBorders>
          </w:tcPr>
          <w:p w14:paraId="285C8F71" w14:textId="77777777" w:rsidR="00974EBD" w:rsidRPr="00974EBD" w:rsidRDefault="00974EBD" w:rsidP="008C062A">
            <w:pPr>
              <w:widowControl w:val="0"/>
              <w:spacing w:line="252" w:lineRule="auto"/>
              <w:rPr>
                <w:rFonts w:cstheme="minorHAnsi"/>
              </w:rPr>
            </w:pPr>
            <w:r w:rsidRPr="00974EBD">
              <w:rPr>
                <w:rFonts w:cstheme="minorHAnsi"/>
              </w:rPr>
              <w:t>Wskaźnik niewystarczającego wyposażenia w infrastrukturę techniczną i społeczną</w:t>
            </w:r>
          </w:p>
        </w:tc>
        <w:tc>
          <w:tcPr>
            <w:tcW w:w="3686" w:type="dxa"/>
            <w:tcBorders>
              <w:top w:val="single" w:sz="4" w:space="0" w:color="000000"/>
              <w:left w:val="single" w:sz="4" w:space="0" w:color="000000"/>
              <w:bottom w:val="single" w:sz="4" w:space="0" w:color="000000"/>
              <w:right w:val="single" w:sz="4" w:space="0" w:color="000000"/>
            </w:tcBorders>
          </w:tcPr>
          <w:p w14:paraId="01F7A591" w14:textId="77777777" w:rsidR="00974EBD" w:rsidRPr="00974EBD" w:rsidRDefault="00974EBD" w:rsidP="008C062A">
            <w:pPr>
              <w:widowControl w:val="0"/>
              <w:spacing w:line="252" w:lineRule="auto"/>
              <w:rPr>
                <w:rFonts w:cstheme="minorHAnsi"/>
              </w:rPr>
            </w:pPr>
            <w:r w:rsidRPr="00974EBD">
              <w:rPr>
                <w:rFonts w:cstheme="minorHAnsi"/>
              </w:rPr>
              <w:t>Miara stopnia niedoboru lub złej jakości infrastruktury technicznej oraz usług społecznych na danym obszarze, co jest istotnym elementem w diagnozie i wyznaczaniu obszaru zdegradowanego i rewitalizacji.</w:t>
            </w:r>
            <w:r w:rsidRPr="00974EBD">
              <w:t xml:space="preserve"> </w:t>
            </w:r>
            <w:r w:rsidRPr="00974EBD">
              <w:rPr>
                <w:rFonts w:cstheme="minorHAnsi"/>
              </w:rPr>
              <w:t>Wskaźnik przedstawia odsetek lub liczbę jednostek (mieszkańców) w jednostce, które nie mają dostępu do niezbędnej infrastruktury technicznej (sieć wodociągowa, kanalizacyjna, energetyczna) oraz infrastruktury społecznej (placówki edukacyjne, zdrowotne, kulturalne, sportowe) dla których dostęp ten jest niewystarczający jakościowo lub ilościowo w stosunku do potrzeb społeczności lokalnej.</w:t>
            </w:r>
            <w:r w:rsidRPr="00974EBD">
              <w:rPr>
                <w:rStyle w:val="Odwoanieprzypisudolnego"/>
              </w:rPr>
              <w:footnoteReference w:id="20"/>
            </w:r>
          </w:p>
        </w:tc>
        <w:tc>
          <w:tcPr>
            <w:tcW w:w="1480" w:type="dxa"/>
            <w:tcBorders>
              <w:top w:val="single" w:sz="4" w:space="0" w:color="000000"/>
              <w:left w:val="single" w:sz="4" w:space="0" w:color="000000"/>
              <w:bottom w:val="single" w:sz="4" w:space="0" w:color="000000"/>
              <w:right w:val="single" w:sz="4" w:space="0" w:color="000000"/>
            </w:tcBorders>
          </w:tcPr>
          <w:p w14:paraId="1497520B" w14:textId="77777777" w:rsidR="00974EBD" w:rsidRPr="00974EBD" w:rsidRDefault="00974EBD" w:rsidP="008C062A">
            <w:pPr>
              <w:widowControl w:val="0"/>
              <w:spacing w:line="252" w:lineRule="auto"/>
            </w:pPr>
            <w:r w:rsidRPr="00974EBD">
              <w:t xml:space="preserve">Destymulanta </w:t>
            </w:r>
          </w:p>
        </w:tc>
        <w:tc>
          <w:tcPr>
            <w:tcW w:w="1780" w:type="dxa"/>
            <w:tcBorders>
              <w:top w:val="single" w:sz="4" w:space="0" w:color="000000"/>
              <w:left w:val="single" w:sz="4" w:space="0" w:color="000000"/>
              <w:bottom w:val="single" w:sz="4" w:space="0" w:color="000000"/>
              <w:right w:val="single" w:sz="4" w:space="0" w:color="000000"/>
            </w:tcBorders>
          </w:tcPr>
          <w:p w14:paraId="0C33237A" w14:textId="79F25F44" w:rsidR="00974EBD" w:rsidRPr="00974EBD" w:rsidRDefault="00733D2A" w:rsidP="008C062A">
            <w:pPr>
              <w:widowControl w:val="0"/>
              <w:spacing w:line="252" w:lineRule="auto"/>
            </w:pPr>
            <w:r w:rsidRPr="00733D2A">
              <w:t>Urząd Miejski w Krośniewicach / analiza własna</w:t>
            </w:r>
          </w:p>
        </w:tc>
      </w:tr>
    </w:tbl>
    <w:p w14:paraId="0DCC30B4" w14:textId="2DB86403" w:rsidR="008C35D4" w:rsidRPr="008C35D4" w:rsidRDefault="008C35D4">
      <w:pPr>
        <w:spacing w:before="120" w:after="0" w:line="264" w:lineRule="auto"/>
        <w:rPr>
          <w:sz w:val="20"/>
          <w:szCs w:val="20"/>
        </w:rPr>
      </w:pPr>
      <w:r w:rsidRPr="008C35D4">
        <w:rPr>
          <w:sz w:val="20"/>
          <w:szCs w:val="20"/>
        </w:rPr>
        <w:t xml:space="preserve">Źródło: opracowanie własne </w:t>
      </w:r>
    </w:p>
    <w:p w14:paraId="18BD7DC6" w14:textId="052ED081" w:rsidR="00BF4FFC" w:rsidRDefault="009871AE">
      <w:pPr>
        <w:spacing w:before="120" w:after="0" w:line="264" w:lineRule="auto"/>
      </w:pPr>
      <w:r>
        <w:rPr>
          <w:sz w:val="24"/>
          <w:szCs w:val="24"/>
        </w:rPr>
        <w:t xml:space="preserve">Poniżej zaprezentowano wyniki analiz w poszczególnych sferach problemowych: </w:t>
      </w:r>
    </w:p>
    <w:p w14:paraId="388ECB07" w14:textId="77777777" w:rsidR="00BF4FFC" w:rsidRDefault="009871AE" w:rsidP="003D2355">
      <w:pPr>
        <w:pStyle w:val="Nagwek2"/>
      </w:pPr>
      <w:bookmarkStart w:id="82" w:name="_Toc67141073"/>
      <w:bookmarkStart w:id="83" w:name="_Toc67307375"/>
      <w:bookmarkStart w:id="84" w:name="_Toc67310278"/>
      <w:bookmarkStart w:id="85" w:name="_Toc97015006"/>
      <w:bookmarkStart w:id="86" w:name="_Toc97100739"/>
      <w:bookmarkStart w:id="87" w:name="_Toc97364980"/>
      <w:bookmarkStart w:id="88" w:name="_Toc97365026"/>
      <w:bookmarkStart w:id="89" w:name="_Toc108591672"/>
      <w:bookmarkStart w:id="90" w:name="_Toc108592684"/>
      <w:bookmarkStart w:id="91" w:name="_Toc108592749"/>
      <w:bookmarkStart w:id="92" w:name="_Toc133584135"/>
      <w:bookmarkStart w:id="93" w:name="_Toc138666209"/>
      <w:bookmarkStart w:id="94" w:name="_Toc219271387"/>
      <w:bookmarkStart w:id="95" w:name="_Toc466835324"/>
      <w:bookmarkStart w:id="96" w:name="_Toc482609541"/>
      <w:r>
        <w:lastRenderedPageBreak/>
        <w:t>Analiza uwarunkowań społecznych</w:t>
      </w:r>
      <w:bookmarkEnd w:id="82"/>
      <w:bookmarkEnd w:id="83"/>
      <w:bookmarkEnd w:id="84"/>
      <w:bookmarkEnd w:id="85"/>
      <w:bookmarkEnd w:id="86"/>
      <w:bookmarkEnd w:id="87"/>
      <w:bookmarkEnd w:id="88"/>
      <w:bookmarkEnd w:id="89"/>
      <w:bookmarkEnd w:id="90"/>
      <w:bookmarkEnd w:id="91"/>
      <w:bookmarkEnd w:id="92"/>
      <w:bookmarkEnd w:id="93"/>
      <w:bookmarkEnd w:id="94"/>
      <w:r>
        <w:t xml:space="preserve"> </w:t>
      </w:r>
    </w:p>
    <w:p w14:paraId="104CE0F1" w14:textId="7A4B09A7" w:rsidR="003F2376" w:rsidRPr="003F2376" w:rsidRDefault="009871AE" w:rsidP="003F2376">
      <w:pPr>
        <w:spacing w:before="120" w:after="0" w:line="264" w:lineRule="auto"/>
        <w:rPr>
          <w:sz w:val="24"/>
          <w:szCs w:val="24"/>
        </w:rPr>
      </w:pPr>
      <w:r>
        <w:rPr>
          <w:sz w:val="24"/>
          <w:szCs w:val="24"/>
        </w:rPr>
        <w:t xml:space="preserve">Na podstawie przepisów ustawy o rewitalizacji, podstawą wyznaczenia obszaru zdegradowanego i obszar rewitalizacji na terenie gminy jest występowanie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(Dz.U. </w:t>
      </w:r>
      <w:r w:rsidR="00D9167F">
        <w:rPr>
          <w:sz w:val="24"/>
          <w:szCs w:val="24"/>
        </w:rPr>
        <w:t xml:space="preserve">z 2024, poz. 1411), </w:t>
      </w:r>
      <w:r>
        <w:rPr>
          <w:sz w:val="24"/>
          <w:szCs w:val="24"/>
        </w:rPr>
        <w:t xml:space="preserve">niskiego poziomu edukacji lub kapitału społecznego, a także nie wystarczającego poziomu uczestnictwa w </w:t>
      </w:r>
      <w:r w:rsidRPr="003F2376">
        <w:rPr>
          <w:sz w:val="24"/>
          <w:szCs w:val="24"/>
        </w:rPr>
        <w:t xml:space="preserve">życiu publicznym i kulturalnym. </w:t>
      </w:r>
      <w:r w:rsidRPr="00510E42">
        <w:rPr>
          <w:b/>
          <w:bCs/>
          <w:sz w:val="24"/>
          <w:szCs w:val="24"/>
        </w:rPr>
        <w:t>W tym celu analiza dostępnych danych i wskaźników odnosiła się do danych pozyskanych z U</w:t>
      </w:r>
      <w:r w:rsidR="00510E42">
        <w:rPr>
          <w:b/>
          <w:bCs/>
          <w:sz w:val="24"/>
          <w:szCs w:val="24"/>
        </w:rPr>
        <w:t>M w Krośniewicach</w:t>
      </w:r>
      <w:r w:rsidR="008C35D4" w:rsidRPr="00510E42">
        <w:rPr>
          <w:b/>
          <w:bCs/>
          <w:sz w:val="24"/>
          <w:szCs w:val="24"/>
        </w:rPr>
        <w:t xml:space="preserve">, PUP </w:t>
      </w:r>
      <w:r w:rsidR="00510E42">
        <w:rPr>
          <w:b/>
          <w:bCs/>
          <w:sz w:val="24"/>
          <w:szCs w:val="24"/>
        </w:rPr>
        <w:t xml:space="preserve">w Kutnie </w:t>
      </w:r>
      <w:r w:rsidR="008C35D4" w:rsidRPr="00510E42">
        <w:rPr>
          <w:b/>
          <w:bCs/>
          <w:sz w:val="24"/>
          <w:szCs w:val="24"/>
        </w:rPr>
        <w:t xml:space="preserve">i </w:t>
      </w:r>
      <w:r w:rsidR="00043E70" w:rsidRPr="00510E42">
        <w:rPr>
          <w:b/>
          <w:bCs/>
          <w:sz w:val="24"/>
          <w:szCs w:val="24"/>
        </w:rPr>
        <w:t xml:space="preserve">Komisariatu Policji </w:t>
      </w:r>
      <w:r w:rsidR="003F2376" w:rsidRPr="00510E42">
        <w:rPr>
          <w:b/>
          <w:bCs/>
          <w:sz w:val="24"/>
          <w:szCs w:val="24"/>
        </w:rPr>
        <w:t xml:space="preserve">w </w:t>
      </w:r>
      <w:r w:rsidR="002B162A">
        <w:rPr>
          <w:b/>
          <w:bCs/>
          <w:sz w:val="24"/>
          <w:szCs w:val="24"/>
        </w:rPr>
        <w:t>Krośniewicach</w:t>
      </w:r>
      <w:r w:rsidR="003F2376" w:rsidRPr="00510E42">
        <w:rPr>
          <w:b/>
          <w:bCs/>
          <w:sz w:val="24"/>
          <w:szCs w:val="24"/>
        </w:rPr>
        <w:t xml:space="preserve"> </w:t>
      </w:r>
      <w:r w:rsidRPr="00510E42">
        <w:rPr>
          <w:b/>
          <w:bCs/>
          <w:sz w:val="24"/>
          <w:szCs w:val="24"/>
        </w:rPr>
        <w:t>dostępnych na poziomie każdej z jedn</w:t>
      </w:r>
      <w:r w:rsidR="008C35D4" w:rsidRPr="00510E42">
        <w:rPr>
          <w:b/>
          <w:bCs/>
          <w:sz w:val="24"/>
          <w:szCs w:val="24"/>
        </w:rPr>
        <w:t>ostek</w:t>
      </w:r>
      <w:r w:rsidR="00043E70" w:rsidRPr="00510E42">
        <w:rPr>
          <w:b/>
          <w:bCs/>
          <w:sz w:val="24"/>
          <w:szCs w:val="24"/>
        </w:rPr>
        <w:t xml:space="preserve"> urbanistycznych</w:t>
      </w:r>
      <w:r w:rsidRPr="00510E42">
        <w:rPr>
          <w:b/>
          <w:bCs/>
          <w:sz w:val="24"/>
          <w:szCs w:val="24"/>
        </w:rPr>
        <w:t>.</w:t>
      </w:r>
    </w:p>
    <w:p w14:paraId="7E17F00A" w14:textId="3D8D4729" w:rsidR="00211A00" w:rsidRDefault="00563FE5" w:rsidP="00211A00">
      <w:pPr>
        <w:spacing w:before="120" w:after="0" w:line="264" w:lineRule="auto"/>
        <w:rPr>
          <w:sz w:val="24"/>
          <w:szCs w:val="24"/>
        </w:rPr>
      </w:pPr>
      <w:bookmarkStart w:id="97" w:name="_Hlk97990261"/>
      <w:r>
        <w:rPr>
          <w:sz w:val="24"/>
          <w:szCs w:val="24"/>
        </w:rPr>
        <w:t>Również p</w:t>
      </w:r>
      <w:r w:rsidR="009871AE">
        <w:rPr>
          <w:sz w:val="24"/>
          <w:szCs w:val="24"/>
        </w:rPr>
        <w:t xml:space="preserve">ośród uwarunkowań stymulujących rozwój gminy </w:t>
      </w:r>
      <w:bookmarkEnd w:id="97"/>
      <w:r w:rsidR="00702127">
        <w:rPr>
          <w:sz w:val="24"/>
          <w:szCs w:val="24"/>
        </w:rPr>
        <w:t>określonych</w:t>
      </w:r>
      <w:r w:rsidR="00043E70">
        <w:rPr>
          <w:sz w:val="24"/>
          <w:szCs w:val="24"/>
        </w:rPr>
        <w:t xml:space="preserve"> </w:t>
      </w:r>
      <w:r w:rsidR="00043E70" w:rsidRPr="00211A00">
        <w:rPr>
          <w:b/>
          <w:bCs/>
          <w:sz w:val="24"/>
          <w:szCs w:val="24"/>
        </w:rPr>
        <w:t>strategii rozwoju gminy</w:t>
      </w:r>
      <w:r w:rsidR="00702127">
        <w:rPr>
          <w:rStyle w:val="Odwoanieprzypisudolnego"/>
          <w:sz w:val="24"/>
          <w:szCs w:val="24"/>
        </w:rPr>
        <w:footnoteReference w:id="21"/>
      </w:r>
      <w:r w:rsidR="00702127">
        <w:rPr>
          <w:sz w:val="24"/>
          <w:szCs w:val="24"/>
        </w:rPr>
        <w:t xml:space="preserve"> </w:t>
      </w:r>
      <w:r w:rsidR="009871AE">
        <w:rPr>
          <w:sz w:val="24"/>
          <w:szCs w:val="24"/>
        </w:rPr>
        <w:t xml:space="preserve">w </w:t>
      </w:r>
      <w:r w:rsidR="00702127">
        <w:rPr>
          <w:sz w:val="24"/>
          <w:szCs w:val="24"/>
        </w:rPr>
        <w:t xml:space="preserve">obszarze uwarunkowań społecznych </w:t>
      </w:r>
      <w:r w:rsidR="009871AE">
        <w:rPr>
          <w:sz w:val="24"/>
          <w:szCs w:val="24"/>
        </w:rPr>
        <w:t>wskazano</w:t>
      </w:r>
      <w:r w:rsidR="00702127">
        <w:rPr>
          <w:sz w:val="24"/>
          <w:szCs w:val="24"/>
        </w:rPr>
        <w:t xml:space="preserve"> </w:t>
      </w:r>
      <w:r w:rsidR="00043E70">
        <w:rPr>
          <w:sz w:val="24"/>
          <w:szCs w:val="24"/>
        </w:rPr>
        <w:t xml:space="preserve">na </w:t>
      </w:r>
      <w:r w:rsidR="00211A00">
        <w:rPr>
          <w:sz w:val="24"/>
          <w:szCs w:val="24"/>
        </w:rPr>
        <w:t xml:space="preserve">problem </w:t>
      </w:r>
      <w:r w:rsidR="00211A00" w:rsidRPr="00211A00">
        <w:rPr>
          <w:b/>
          <w:bCs/>
          <w:sz w:val="24"/>
          <w:szCs w:val="24"/>
        </w:rPr>
        <w:t xml:space="preserve">spadku liczby mieszkańców i starzenie się społeczeństwa. </w:t>
      </w:r>
      <w:r w:rsidR="00211A00" w:rsidRPr="00211A00">
        <w:rPr>
          <w:sz w:val="24"/>
          <w:szCs w:val="24"/>
        </w:rPr>
        <w:t xml:space="preserve">Między 2017 a 2021 r. populacja </w:t>
      </w:r>
      <w:r w:rsidR="00211A00">
        <w:rPr>
          <w:sz w:val="24"/>
          <w:szCs w:val="24"/>
        </w:rPr>
        <w:t xml:space="preserve">sukcesywnie spadała, </w:t>
      </w:r>
      <w:r w:rsidR="00211A00" w:rsidRPr="00211A00">
        <w:rPr>
          <w:sz w:val="24"/>
          <w:szCs w:val="24"/>
        </w:rPr>
        <w:t>r</w:t>
      </w:r>
      <w:r w:rsidR="00211A00">
        <w:rPr>
          <w:sz w:val="24"/>
          <w:szCs w:val="24"/>
        </w:rPr>
        <w:t>ósł</w:t>
      </w:r>
      <w:r w:rsidR="00211A00" w:rsidRPr="00211A00">
        <w:rPr>
          <w:sz w:val="24"/>
          <w:szCs w:val="24"/>
        </w:rPr>
        <w:t xml:space="preserve"> udział osób w wieku poprodukcyjnym, maleje udział w wieku produkcyjnym i przedprodukcyjnym. Skutek: rosnące obciążenia systemu opieki długoterminowej, kurczenie się zasobów pracy i zwiększone potrzeby usług społecznych dla seniorów. Ujemny przyrost naturalny i ujemne saldo migracji. To sygnalizuje konieczność działań na rzecz utrzymania i przyciągania młodych rodzin (mieszkania, praca, żłobki/przedszkola).</w:t>
      </w:r>
      <w:r w:rsidR="00211A00">
        <w:rPr>
          <w:sz w:val="24"/>
          <w:szCs w:val="24"/>
        </w:rPr>
        <w:t xml:space="preserve"> </w:t>
      </w:r>
      <w:r w:rsidR="00043E70">
        <w:rPr>
          <w:sz w:val="24"/>
          <w:szCs w:val="24"/>
        </w:rPr>
        <w:t xml:space="preserve">Kolejnymi ważnymi potencjałami gminy w tym obszarze jest </w:t>
      </w:r>
      <w:r w:rsidR="00043E70" w:rsidRPr="00211A00">
        <w:rPr>
          <w:b/>
          <w:bCs/>
          <w:sz w:val="24"/>
          <w:szCs w:val="24"/>
        </w:rPr>
        <w:t>czynnik demograficzny</w:t>
      </w:r>
      <w:r w:rsidR="00043E70">
        <w:rPr>
          <w:sz w:val="24"/>
          <w:szCs w:val="24"/>
        </w:rPr>
        <w:t xml:space="preserve">. </w:t>
      </w:r>
      <w:r w:rsidR="00043E70" w:rsidRPr="00715112">
        <w:rPr>
          <w:sz w:val="24"/>
          <w:szCs w:val="24"/>
        </w:rPr>
        <w:t>Wraz z wiekiem coraz więcej osób zmuszonych jest do korzystania z usług zdrowotnych i opiekuńczych, często o charakterze komercyjnym</w:t>
      </w:r>
      <w:r w:rsidR="00043E70" w:rsidRPr="00750BDD">
        <w:rPr>
          <w:sz w:val="24"/>
          <w:szCs w:val="24"/>
        </w:rPr>
        <w:t>.</w:t>
      </w:r>
      <w:r w:rsidR="00043E70">
        <w:rPr>
          <w:sz w:val="24"/>
          <w:szCs w:val="24"/>
        </w:rPr>
        <w:t xml:space="preserve"> </w:t>
      </w:r>
      <w:r w:rsidR="00043E70" w:rsidRPr="00750BDD">
        <w:rPr>
          <w:sz w:val="24"/>
          <w:szCs w:val="24"/>
        </w:rPr>
        <w:t>Takie zmiany demograficzne generują wyzwania m.in. w zakresie rynku pracy, usług społecznych i opieki zdrowotnej.</w:t>
      </w:r>
      <w:r>
        <w:rPr>
          <w:sz w:val="24"/>
          <w:szCs w:val="24"/>
        </w:rPr>
        <w:t xml:space="preserve"> </w:t>
      </w:r>
      <w:r w:rsidR="00211A00" w:rsidRPr="00211A00">
        <w:rPr>
          <w:sz w:val="24"/>
          <w:szCs w:val="24"/>
        </w:rPr>
        <w:t xml:space="preserve">Analiza zmian liczby mieszkańców w latach 2019–2024 wykazuje jednoznaczny, negatywny trend demograficzny w Gminie Krośniewice. Średnia zmiana mieszkańców w badanym okresie wyniosła </w:t>
      </w:r>
      <w:r w:rsidR="00211A00" w:rsidRPr="00211A00">
        <w:rPr>
          <w:b/>
          <w:bCs/>
          <w:sz w:val="24"/>
          <w:szCs w:val="24"/>
        </w:rPr>
        <w:t>−7,24 osoby na 100 mieszkańców</w:t>
      </w:r>
      <w:r w:rsidR="00211A00" w:rsidRPr="00211A00">
        <w:rPr>
          <w:sz w:val="24"/>
          <w:szCs w:val="24"/>
        </w:rPr>
        <w:t xml:space="preserve">, co oznacza systematyczny odpływ ludności i/lub utrzymujący się ujemny przyrost naturalny. Ujemną zmianę odnotowało </w:t>
      </w:r>
      <w:r w:rsidR="00211A00" w:rsidRPr="00211A00">
        <w:rPr>
          <w:b/>
          <w:bCs/>
          <w:sz w:val="24"/>
          <w:szCs w:val="24"/>
        </w:rPr>
        <w:t>26 z 28</w:t>
      </w:r>
      <w:r w:rsidR="00211A00" w:rsidRPr="00211A00">
        <w:rPr>
          <w:sz w:val="24"/>
          <w:szCs w:val="24"/>
        </w:rPr>
        <w:t xml:space="preserve"> jednostek administracyjnych (≈ </w:t>
      </w:r>
      <w:r w:rsidR="00211A00" w:rsidRPr="00211A00">
        <w:rPr>
          <w:b/>
          <w:bCs/>
          <w:sz w:val="24"/>
          <w:szCs w:val="24"/>
        </w:rPr>
        <w:t>92,9%</w:t>
      </w:r>
      <w:r w:rsidR="00211A00" w:rsidRPr="00211A00">
        <w:rPr>
          <w:sz w:val="24"/>
          <w:szCs w:val="24"/>
        </w:rPr>
        <w:t xml:space="preserve">), co potwierdza skalę i powszechność zjawiska. Wskaźniki dla jednostek miejskich (osiedla) są jeszcze bardziej niepokojące — średnia zmiana dla 6 osiedli wyniosła </w:t>
      </w:r>
      <w:r w:rsidR="00211A00" w:rsidRPr="00211A00">
        <w:rPr>
          <w:b/>
          <w:bCs/>
          <w:sz w:val="24"/>
          <w:szCs w:val="24"/>
        </w:rPr>
        <w:t>−8,99/100</w:t>
      </w:r>
      <w:r w:rsidR="00211A00" w:rsidRPr="00211A00">
        <w:rPr>
          <w:sz w:val="24"/>
          <w:szCs w:val="24"/>
        </w:rPr>
        <w:t xml:space="preserve">, podczas gdy średnia dla 22 sołectw wyniosła </w:t>
      </w:r>
      <w:r w:rsidR="00211A00" w:rsidRPr="00211A00">
        <w:rPr>
          <w:b/>
          <w:bCs/>
          <w:sz w:val="24"/>
          <w:szCs w:val="24"/>
        </w:rPr>
        <w:t>−6,77/100</w:t>
      </w:r>
      <w:r w:rsidR="00211A00">
        <w:rPr>
          <w:sz w:val="24"/>
          <w:szCs w:val="24"/>
        </w:rPr>
        <w:t>.</w:t>
      </w:r>
    </w:p>
    <w:p w14:paraId="58F7CE97" w14:textId="7040AD16" w:rsidR="00211A00" w:rsidRPr="00211A00" w:rsidRDefault="00211A00" w:rsidP="00211A00">
      <w:pPr>
        <w:spacing w:before="120" w:after="0" w:line="264" w:lineRule="auto"/>
        <w:rPr>
          <w:sz w:val="24"/>
          <w:szCs w:val="24"/>
        </w:rPr>
      </w:pPr>
      <w:r w:rsidRPr="00211A00">
        <w:rPr>
          <w:sz w:val="24"/>
          <w:szCs w:val="24"/>
        </w:rPr>
        <w:t xml:space="preserve">Najsilniejsze skupiska depopulacji zlokalizowano punktowo: Franki: −37,50/100 (ekstremalny spadek, wymaga pilnej analizy lokalnej przyczyny), Teresin: −14,16/100, Wola Nowska: −10,77/100, Zieleniew: −10,67/100, Szubina: −10,59/100, a także Osiedle nr 3 (im. gen. W. Andersa): −10,14/100 i Osiedle nr 4: −10,00/100. Tylko dwie jednostki wykazały niewielki wzrost: Szubsk-Towarzystwo (+7,41/100) i Suchodoły (+4,17/100) — to izolowane pozytywne przypadki, które mogą stanowić interesujące przykłady lokalnych mechanizmów odporności/atrakcyjności do zbadania i ewentualnego replikowania </w:t>
      </w:r>
    </w:p>
    <w:p w14:paraId="310E64CB" w14:textId="2ACB0960" w:rsidR="00211A00" w:rsidRPr="00211A00" w:rsidRDefault="00211A00" w:rsidP="00211A00">
      <w:pPr>
        <w:spacing w:before="120" w:after="0" w:line="264" w:lineRule="auto"/>
        <w:rPr>
          <w:sz w:val="24"/>
          <w:szCs w:val="24"/>
        </w:rPr>
      </w:pPr>
      <w:r w:rsidRPr="00211A00">
        <w:rPr>
          <w:sz w:val="24"/>
          <w:szCs w:val="24"/>
        </w:rPr>
        <w:t>Wnioski interpretacyjne dla obszaru rewitalizacji</w:t>
      </w:r>
      <w:r>
        <w:rPr>
          <w:sz w:val="24"/>
          <w:szCs w:val="24"/>
        </w:rPr>
        <w:t xml:space="preserve"> wskazują, że d</w:t>
      </w:r>
      <w:r w:rsidRPr="00211A00">
        <w:rPr>
          <w:sz w:val="24"/>
          <w:szCs w:val="24"/>
        </w:rPr>
        <w:t xml:space="preserve">epopulacja ma charakter zarówno </w:t>
      </w:r>
      <w:r w:rsidRPr="00211A00">
        <w:rPr>
          <w:b/>
          <w:bCs/>
          <w:sz w:val="24"/>
          <w:szCs w:val="24"/>
        </w:rPr>
        <w:t>miasto-pograniczny (silne spadki na osiedlach)</w:t>
      </w:r>
      <w:r w:rsidRPr="00211A00">
        <w:rPr>
          <w:sz w:val="24"/>
          <w:szCs w:val="24"/>
        </w:rPr>
        <w:t xml:space="preserve">, jak i </w:t>
      </w:r>
      <w:r w:rsidRPr="00211A00">
        <w:rPr>
          <w:b/>
          <w:bCs/>
          <w:sz w:val="24"/>
          <w:szCs w:val="24"/>
        </w:rPr>
        <w:t>wiejski (wybrane sołectwa z dużymi spadkami)</w:t>
      </w:r>
      <w:r>
        <w:rPr>
          <w:sz w:val="24"/>
          <w:szCs w:val="24"/>
        </w:rPr>
        <w:t>, s</w:t>
      </w:r>
      <w:r w:rsidRPr="00211A00">
        <w:rPr>
          <w:sz w:val="24"/>
          <w:szCs w:val="24"/>
        </w:rPr>
        <w:t>kala i koncentracja ujemnych zmian (szczególnie jednostki z ≥10 pkt spadku na 100) wskazują na miejsca o największym ryzyku marginalizacji społeczno-przestrzennej — to naturalne kandydatury do objęcia rewitalizacją</w:t>
      </w:r>
      <w:r>
        <w:rPr>
          <w:sz w:val="24"/>
          <w:szCs w:val="24"/>
        </w:rPr>
        <w:t xml:space="preserve"> oraz e</w:t>
      </w:r>
      <w:r w:rsidRPr="00211A00">
        <w:rPr>
          <w:sz w:val="24"/>
          <w:szCs w:val="24"/>
        </w:rPr>
        <w:t xml:space="preserve">kstremalny spadek w Frankach wskazuje na potrzebę </w:t>
      </w:r>
      <w:r w:rsidRPr="00211A00">
        <w:rPr>
          <w:sz w:val="24"/>
          <w:szCs w:val="24"/>
        </w:rPr>
        <w:lastRenderedPageBreak/>
        <w:t>natychmiastowej, lokalnej diagnozy przyczyn (gospodarczych, infrastrukturalnych lub społecznych) przed zaprojektowaniem działań naprawczych.</w:t>
      </w:r>
    </w:p>
    <w:p w14:paraId="51BED19D" w14:textId="4D1D15AA" w:rsidR="008C062A" w:rsidRDefault="008C062A" w:rsidP="008C062A">
      <w:pPr>
        <w:spacing w:before="120" w:after="0" w:line="264" w:lineRule="auto"/>
        <w:rPr>
          <w:sz w:val="24"/>
          <w:szCs w:val="24"/>
        </w:rPr>
      </w:pPr>
      <w:r w:rsidRPr="008C062A">
        <w:rPr>
          <w:sz w:val="24"/>
          <w:szCs w:val="24"/>
        </w:rPr>
        <w:t xml:space="preserve">Na potrzeby oceny poziomu kapitału społecznego dokonano </w:t>
      </w:r>
      <w:r w:rsidRPr="00211A00">
        <w:rPr>
          <w:b/>
          <w:bCs/>
          <w:sz w:val="24"/>
          <w:szCs w:val="24"/>
        </w:rPr>
        <w:t>analizy frekwencji wyborczej</w:t>
      </w:r>
      <w:r w:rsidR="00211A00">
        <w:rPr>
          <w:b/>
          <w:bCs/>
          <w:sz w:val="24"/>
          <w:szCs w:val="24"/>
        </w:rPr>
        <w:t xml:space="preserve"> </w:t>
      </w:r>
      <w:r w:rsidR="00211A00" w:rsidRPr="00211A00">
        <w:rPr>
          <w:sz w:val="24"/>
          <w:szCs w:val="24"/>
        </w:rPr>
        <w:t>w wyborach samorządowych 2024 roku</w:t>
      </w:r>
      <w:r w:rsidR="00563FE5">
        <w:rPr>
          <w:sz w:val="24"/>
          <w:szCs w:val="24"/>
        </w:rPr>
        <w:t xml:space="preserve"> do rady gminy</w:t>
      </w:r>
      <w:r w:rsidR="00211A00" w:rsidRPr="00563FE5">
        <w:rPr>
          <w:sz w:val="24"/>
          <w:szCs w:val="24"/>
        </w:rPr>
        <w:t xml:space="preserve">. </w:t>
      </w:r>
      <w:r w:rsidRPr="008C062A">
        <w:rPr>
          <w:sz w:val="24"/>
          <w:szCs w:val="24"/>
        </w:rPr>
        <w:t xml:space="preserve">Koncepcja kapitału społecznego stała się w ostatnich 30-tu latach niezwykle popularna w naukach społecznych. Pojęcie „kapitał” wywodzi się z nauk ekonomicznych. W swym wąskim, ekonomicznym znaczeniu, według Słownika Języka Polskiego, oznacza ono środki trwałe oraz aktywa finansowe zainwestowane w produkcję i mające przynosić dochód lub majątek w gotówce lub papierach wartościowych. R. Putnam (1993) definiując zjawisko, podkreśla rolę norm wzajemności, zaufania i sieci społecznego zaangażowania, czyli sieci horyzontalnych interakcji, komunikacji i wymiany pomiędzy ludźmi. Kryterium oceny aktywności społecznej ludności są sprawy związane z uczestnictwem w wyborach samorządowych, które budzą zawsze większe zainteresowanie mieszkańców niż wybory </w:t>
      </w:r>
      <w:proofErr w:type="gramStart"/>
      <w:r w:rsidRPr="008C062A">
        <w:rPr>
          <w:sz w:val="24"/>
          <w:szCs w:val="24"/>
        </w:rPr>
        <w:t>parlamentarne,</w:t>
      </w:r>
      <w:proofErr w:type="gramEnd"/>
      <w:r w:rsidRPr="008C062A">
        <w:rPr>
          <w:sz w:val="24"/>
          <w:szCs w:val="24"/>
        </w:rPr>
        <w:t xml:space="preserve"> czy prezydenckie. </w:t>
      </w:r>
    </w:p>
    <w:p w14:paraId="5E66686D" w14:textId="631A9A35" w:rsidR="008C062A" w:rsidRPr="002D6249" w:rsidRDefault="008C062A" w:rsidP="002D6249">
      <w:pPr>
        <w:pStyle w:val="Legenda"/>
      </w:pPr>
      <w:bookmarkStart w:id="98" w:name="_Toc219274339"/>
      <w:r w:rsidRPr="002D6249">
        <w:t xml:space="preserve">Tabela </w:t>
      </w:r>
      <w:fldSimple w:instr=" SEQ Tabela \* ARABIC ">
        <w:r w:rsidR="001328FC">
          <w:rPr>
            <w:noProof/>
          </w:rPr>
          <w:t>3</w:t>
        </w:r>
      </w:fldSimple>
      <w:r w:rsidRPr="002D6249">
        <w:t xml:space="preserve">. </w:t>
      </w:r>
      <w:r w:rsidRPr="002D6249">
        <w:rPr>
          <w:rStyle w:val="Tytuksiki"/>
          <w:color w:val="auto"/>
        </w:rPr>
        <w:t xml:space="preserve">Wykaz obwodów wyborczych i frekwencja do wyborów samorządowych 2024 w Gminie </w:t>
      </w:r>
      <w:r w:rsidR="00510E42">
        <w:rPr>
          <w:rStyle w:val="Tytuksiki"/>
          <w:color w:val="auto"/>
        </w:rPr>
        <w:t>Krośniewice</w:t>
      </w:r>
      <w:r w:rsidRPr="002D6249">
        <w:rPr>
          <w:rStyle w:val="Tytuksiki"/>
          <w:color w:val="auto"/>
        </w:rPr>
        <w:t xml:space="preserve">, wybory do Rady </w:t>
      </w:r>
      <w:r w:rsidR="00510E42">
        <w:rPr>
          <w:rStyle w:val="Tytuksiki"/>
          <w:color w:val="auto"/>
        </w:rPr>
        <w:t>Miejskiej w Krośniewicach</w:t>
      </w:r>
      <w:bookmarkEnd w:id="98"/>
      <w:r w:rsidR="00510E42">
        <w:rPr>
          <w:rStyle w:val="Tytuksiki"/>
          <w:color w:val="auto"/>
        </w:rPr>
        <w:t xml:space="preserve"> </w:t>
      </w:r>
      <w:r w:rsidR="00391B1D">
        <w:rPr>
          <w:rStyle w:val="Tytuksiki"/>
          <w:color w:val="auto"/>
        </w:rPr>
        <w:t xml:space="preserve"> </w:t>
      </w:r>
    </w:p>
    <w:tbl>
      <w:tblPr>
        <w:tblW w:w="9996" w:type="dxa"/>
        <w:tblCellMar>
          <w:left w:w="10" w:type="dxa"/>
          <w:right w:w="10" w:type="dxa"/>
        </w:tblCellMar>
        <w:tblLook w:val="04A0" w:firstRow="1" w:lastRow="0" w:firstColumn="1" w:lastColumn="0" w:noHBand="0" w:noVBand="1"/>
      </w:tblPr>
      <w:tblGrid>
        <w:gridCol w:w="562"/>
        <w:gridCol w:w="3261"/>
        <w:gridCol w:w="2409"/>
        <w:gridCol w:w="2410"/>
        <w:gridCol w:w="1354"/>
      </w:tblGrid>
      <w:tr w:rsidR="008C062A" w:rsidRPr="002D6249" w14:paraId="0246BB41" w14:textId="77777777" w:rsidTr="00E20BBA">
        <w:trPr>
          <w:trHeight w:val="871"/>
        </w:trPr>
        <w:tc>
          <w:tcPr>
            <w:tcW w:w="56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19C10E38" w14:textId="77777777" w:rsidR="008C062A" w:rsidRPr="002D6249" w:rsidRDefault="008C062A" w:rsidP="008C062A">
            <w:pPr>
              <w:spacing w:before="120" w:after="0" w:line="264" w:lineRule="auto"/>
              <w:rPr>
                <w:color w:val="FFFFFF"/>
              </w:rPr>
            </w:pPr>
            <w:bookmarkStart w:id="99" w:name="_Hlk218756030"/>
            <w:r w:rsidRPr="002D6249">
              <w:rPr>
                <w:color w:val="FFFFFF"/>
              </w:rPr>
              <w:t>Lp.</w:t>
            </w:r>
          </w:p>
        </w:tc>
        <w:tc>
          <w:tcPr>
            <w:tcW w:w="326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1E4B2E0C" w14:textId="77777777" w:rsidR="008C062A" w:rsidRPr="002D6249" w:rsidRDefault="008C062A" w:rsidP="008C062A">
            <w:pPr>
              <w:spacing w:before="120" w:after="0" w:line="264" w:lineRule="auto"/>
              <w:rPr>
                <w:color w:val="FFFFFF"/>
              </w:rPr>
            </w:pPr>
            <w:r w:rsidRPr="002D6249">
              <w:rPr>
                <w:color w:val="FFFFFF"/>
              </w:rPr>
              <w:t xml:space="preserve">Adres obwodu </w:t>
            </w:r>
          </w:p>
        </w:tc>
        <w:tc>
          <w:tcPr>
            <w:tcW w:w="240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45324293" w14:textId="77777777" w:rsidR="008C062A" w:rsidRPr="002D6249" w:rsidRDefault="008C062A" w:rsidP="008C062A">
            <w:pPr>
              <w:spacing w:before="120" w:after="0" w:line="264" w:lineRule="auto"/>
              <w:rPr>
                <w:color w:val="FFFFFF"/>
              </w:rPr>
            </w:pPr>
            <w:r w:rsidRPr="002D6249">
              <w:rPr>
                <w:color w:val="FFFFFF"/>
              </w:rPr>
              <w:t xml:space="preserve">Granice obwodu </w:t>
            </w:r>
          </w:p>
        </w:tc>
        <w:tc>
          <w:tcPr>
            <w:tcW w:w="241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3430CE6E" w14:textId="77777777" w:rsidR="008C062A" w:rsidRPr="002D6249" w:rsidRDefault="008C062A" w:rsidP="008C062A">
            <w:pPr>
              <w:spacing w:before="120" w:after="0" w:line="264" w:lineRule="auto"/>
              <w:rPr>
                <w:color w:val="FFFFFF"/>
              </w:rPr>
            </w:pPr>
            <w:r w:rsidRPr="002D6249">
              <w:rPr>
                <w:color w:val="FFFFFF"/>
              </w:rPr>
              <w:t xml:space="preserve">Przypisanie do jednostki urbanistycznej  </w:t>
            </w:r>
          </w:p>
        </w:tc>
        <w:tc>
          <w:tcPr>
            <w:tcW w:w="135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4F6C214F" w14:textId="77777777" w:rsidR="008C062A" w:rsidRPr="002D6249" w:rsidRDefault="008C062A" w:rsidP="008C062A">
            <w:pPr>
              <w:spacing w:before="120" w:after="0" w:line="264" w:lineRule="auto"/>
              <w:rPr>
                <w:color w:val="FFFFFF"/>
              </w:rPr>
            </w:pPr>
            <w:r w:rsidRPr="002D6249">
              <w:rPr>
                <w:color w:val="FFFFFF"/>
              </w:rPr>
              <w:t xml:space="preserve">Frekwencja wyborcza </w:t>
            </w:r>
          </w:p>
        </w:tc>
      </w:tr>
      <w:tr w:rsidR="008C062A" w:rsidRPr="002D6249" w14:paraId="61484A76" w14:textId="77777777" w:rsidTr="002B162A">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A6123" w14:textId="77777777" w:rsidR="008C062A" w:rsidRPr="002D6249" w:rsidRDefault="008C062A" w:rsidP="008C062A">
            <w:pPr>
              <w:spacing w:before="120" w:after="0" w:line="264" w:lineRule="auto"/>
            </w:pPr>
            <w:r w:rsidRPr="002D6249">
              <w:t>1.</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D6238" w14:textId="5DA01B29" w:rsidR="008C062A" w:rsidRPr="002D6249" w:rsidRDefault="002B162A" w:rsidP="008C062A">
            <w:pPr>
              <w:spacing w:before="120" w:after="0" w:line="264" w:lineRule="auto"/>
            </w:pPr>
            <w:r w:rsidRPr="002B162A">
              <w:t>Budynek na Stadionie Miejskim w Krośniewicach, ul. Kolejowa 21, 99-340 Krośniewice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7B52E" w14:textId="3AB346C1" w:rsidR="008C062A" w:rsidRPr="002D6249" w:rsidRDefault="002B162A" w:rsidP="008C062A">
            <w:pPr>
              <w:spacing w:before="120" w:after="0" w:line="264" w:lineRule="auto"/>
            </w:pPr>
            <w:r w:rsidRPr="002B162A">
              <w:t>Kolejowa, Parkowa nr 1 i 3, Toruńska nr 1, 2, 3, 8, 8A, 10a, 12, 12A, 12B, 14, 14A, 16, 18, 18A, 18B, 24, 24D, Zakątna, Generała Tadeusza Kościuszki</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7A8B0" w14:textId="642F1F03" w:rsidR="008C062A" w:rsidRPr="002D6249" w:rsidRDefault="000A26E6" w:rsidP="008C062A">
            <w:pPr>
              <w:spacing w:before="120" w:after="0" w:line="264" w:lineRule="auto"/>
            </w:pPr>
            <w:r w:rsidRPr="000A26E6">
              <w:t>Osiedle nr 2</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F6165" w14:textId="106E790B" w:rsidR="008C062A" w:rsidRPr="002D6249" w:rsidRDefault="002B162A" w:rsidP="008C062A">
            <w:pPr>
              <w:spacing w:before="120" w:after="0" w:line="264" w:lineRule="auto"/>
            </w:pPr>
            <w:r>
              <w:t>56,23%</w:t>
            </w:r>
          </w:p>
        </w:tc>
      </w:tr>
      <w:tr w:rsidR="008C062A" w:rsidRPr="002D6249" w14:paraId="58FD158E" w14:textId="77777777" w:rsidTr="002B162A">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D8AED" w14:textId="77777777" w:rsidR="008C062A" w:rsidRPr="002D6249" w:rsidRDefault="008C062A" w:rsidP="008C062A">
            <w:pPr>
              <w:spacing w:before="120" w:after="0" w:line="264" w:lineRule="auto"/>
            </w:pPr>
            <w:r w:rsidRPr="002D6249">
              <w:t>2.</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77BD0" w14:textId="0ACB87D3" w:rsidR="008C062A" w:rsidRPr="002D6249" w:rsidRDefault="002B162A" w:rsidP="008C062A">
            <w:pPr>
              <w:spacing w:before="120" w:after="0" w:line="264" w:lineRule="auto"/>
            </w:pPr>
            <w:r w:rsidRPr="002B162A">
              <w:t>Parkowa od nr 2 do nr 26 (parzyste), Błonie, Toruńska od nr 13 do nr 21 (nieparzyste) i od nr 26 do nr 30 (parzyste)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B7067" w14:textId="31845051" w:rsidR="008C062A" w:rsidRPr="002D6249" w:rsidRDefault="002B162A" w:rsidP="008C062A">
            <w:pPr>
              <w:spacing w:before="120" w:after="0" w:line="264" w:lineRule="auto"/>
            </w:pPr>
            <w:r w:rsidRPr="002B162A">
              <w:t>Świetlica osiedlowa w Krośniewicach, ul. Błonie 9 (Andersówka), 99-340 Krośniewice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5763A" w14:textId="45528744" w:rsidR="008C062A" w:rsidRPr="002D6249" w:rsidRDefault="000A26E6" w:rsidP="00F83247">
            <w:pPr>
              <w:spacing w:after="0" w:line="264" w:lineRule="auto"/>
            </w:pPr>
            <w:r w:rsidRPr="000A26E6">
              <w:t>Osiedle nr 3 (im. gen. W. Andersa)</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5968A" w14:textId="769CBEC1" w:rsidR="008C062A" w:rsidRPr="002D6249" w:rsidRDefault="002B162A" w:rsidP="008C062A">
            <w:pPr>
              <w:spacing w:before="120" w:after="0" w:line="264" w:lineRule="auto"/>
            </w:pPr>
            <w:r>
              <w:t>54,68%</w:t>
            </w:r>
          </w:p>
        </w:tc>
      </w:tr>
      <w:tr w:rsidR="008C062A" w:rsidRPr="002D6249" w14:paraId="2493172E" w14:textId="77777777" w:rsidTr="002B162A">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0D84F" w14:textId="77777777" w:rsidR="008C062A" w:rsidRPr="002D6249" w:rsidRDefault="008C062A" w:rsidP="008C062A">
            <w:pPr>
              <w:spacing w:before="120" w:after="0" w:line="264" w:lineRule="auto"/>
            </w:pPr>
            <w:r w:rsidRPr="002D6249">
              <w:t>3.</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6FB81" w14:textId="28326482" w:rsidR="008C062A" w:rsidRPr="002D6249" w:rsidRDefault="002B162A" w:rsidP="008C062A">
            <w:pPr>
              <w:spacing w:before="120" w:after="0" w:line="264" w:lineRule="auto"/>
            </w:pPr>
            <w:r w:rsidRPr="002B162A">
              <w:t>Teresin, Bardzinek, Głaznów, Pniewko, Ostałów, Tumidaj, Bielice, Stara Wieś, Raszynek</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D538D" w14:textId="327D025B" w:rsidR="008C062A" w:rsidRPr="002D6249" w:rsidRDefault="002B162A" w:rsidP="008C062A">
            <w:pPr>
              <w:spacing w:before="120" w:after="0" w:line="264" w:lineRule="auto"/>
            </w:pPr>
            <w:r w:rsidRPr="002B162A">
              <w:t>Budynek po Szkole Podstawowej Nr 1 w Krośniewicach, ul. Poznańska 15, 99-340 Krośniewice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80D62" w14:textId="77777777" w:rsidR="00F83247" w:rsidRDefault="000A26E6" w:rsidP="00F83247">
            <w:pPr>
              <w:spacing w:after="0" w:line="264" w:lineRule="auto"/>
            </w:pPr>
            <w:r w:rsidRPr="000A26E6">
              <w:t>Sołectwo Teresin</w:t>
            </w:r>
          </w:p>
          <w:p w14:paraId="5C7A1418" w14:textId="1C947DFD" w:rsidR="00F83247" w:rsidRDefault="000A26E6" w:rsidP="00F83247">
            <w:pPr>
              <w:spacing w:after="0" w:line="264" w:lineRule="auto"/>
            </w:pPr>
            <w:r w:rsidRPr="000A26E6">
              <w:t>Sołectwo Bielice</w:t>
            </w:r>
          </w:p>
          <w:p w14:paraId="35DFAF50" w14:textId="40F04454" w:rsidR="008C062A" w:rsidRPr="002D6249" w:rsidRDefault="000A26E6" w:rsidP="00F83247">
            <w:pPr>
              <w:spacing w:after="0" w:line="264" w:lineRule="auto"/>
            </w:pPr>
            <w:r w:rsidRPr="000A26E6">
              <w:t>Sołectwo Ostałów</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56867" w14:textId="1EE679C9" w:rsidR="008C062A" w:rsidRPr="002D6249" w:rsidRDefault="002B162A" w:rsidP="008C062A">
            <w:pPr>
              <w:spacing w:before="120" w:after="0" w:line="264" w:lineRule="auto"/>
            </w:pPr>
            <w:r>
              <w:t>51,06%</w:t>
            </w:r>
          </w:p>
        </w:tc>
      </w:tr>
      <w:tr w:rsidR="008C062A" w:rsidRPr="002D6249" w14:paraId="46E6A3E5" w14:textId="77777777" w:rsidTr="002B162A">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CF86F" w14:textId="77777777" w:rsidR="008C062A" w:rsidRPr="002D6249" w:rsidRDefault="008C062A" w:rsidP="008C062A">
            <w:pPr>
              <w:spacing w:before="120" w:after="0" w:line="264" w:lineRule="auto"/>
            </w:pPr>
            <w:r w:rsidRPr="002D6249">
              <w:t>4.</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3810E" w14:textId="3B8AF968" w:rsidR="008C062A" w:rsidRPr="002D6249" w:rsidRDefault="002B162A" w:rsidP="008C062A">
            <w:pPr>
              <w:spacing w:before="120" w:after="0" w:line="264" w:lineRule="auto"/>
            </w:pPr>
            <w:r w:rsidRPr="002B162A">
              <w:t xml:space="preserve">Płocka, Kutnowska, Plac Wolności, Poznańska, Henryka Sienkiewicza, 3 Maja, Targowa, Generała Władysława Sikorskiego, Zachodnia, Marii Konopnickiej, Juliusza Słowackiego, Mazowiecka, Kwiatowa, Klonowa, Jaśminowa, Polna, Łęczycka od nr 1 do nr 23B (nieparzyste), Ogrodowa, </w:t>
            </w:r>
            <w:r w:rsidRPr="002B162A">
              <w:lastRenderedPageBreak/>
              <w:t>Słoneczna, Różana, Leśna, Malinowa</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AE1E8" w14:textId="50413048" w:rsidR="008C062A" w:rsidRPr="002D6249" w:rsidRDefault="002B162A" w:rsidP="008C062A">
            <w:pPr>
              <w:spacing w:before="120" w:after="0" w:line="264" w:lineRule="auto"/>
            </w:pPr>
            <w:r w:rsidRPr="002B162A">
              <w:lastRenderedPageBreak/>
              <w:t>Szkoła Podstawowa Nr 1 w Krośniewicach, ul. Łęczycka 17, 99-340 Krośniewice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75A42" w14:textId="16605334" w:rsidR="00F83247" w:rsidRDefault="000A26E6" w:rsidP="00F83247">
            <w:pPr>
              <w:spacing w:after="0"/>
            </w:pPr>
            <w:r w:rsidRPr="000A26E6">
              <w:t>Osiedle nr 1</w:t>
            </w:r>
          </w:p>
          <w:p w14:paraId="5C4166F7" w14:textId="1C1CAB4D" w:rsidR="00F83247" w:rsidRDefault="000A26E6" w:rsidP="00F83247">
            <w:pPr>
              <w:spacing w:after="0"/>
            </w:pPr>
            <w:r w:rsidRPr="000A26E6">
              <w:t>Osiedle nr 4</w:t>
            </w:r>
          </w:p>
          <w:p w14:paraId="2D3969BC" w14:textId="30DE53CB" w:rsidR="008C062A" w:rsidRPr="002D6249" w:rsidRDefault="000A26E6" w:rsidP="00F83247">
            <w:pPr>
              <w:spacing w:after="0"/>
            </w:pPr>
            <w:r w:rsidRPr="000A26E6">
              <w:t>Osiedle nr 6</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A0CB8" w14:textId="508683DA" w:rsidR="008C062A" w:rsidRPr="002D6249" w:rsidRDefault="002B162A" w:rsidP="008C062A">
            <w:pPr>
              <w:spacing w:before="120" w:after="0" w:line="264" w:lineRule="auto"/>
            </w:pPr>
            <w:r>
              <w:t>53,42%</w:t>
            </w:r>
          </w:p>
        </w:tc>
      </w:tr>
      <w:tr w:rsidR="002B162A" w:rsidRPr="002D6249" w14:paraId="44473F59" w14:textId="77777777" w:rsidTr="002B162A">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0E1A5" w14:textId="0C445B01" w:rsidR="002B162A" w:rsidRPr="002D6249" w:rsidRDefault="002B162A" w:rsidP="008C062A">
            <w:pPr>
              <w:spacing w:before="120" w:after="0" w:line="264" w:lineRule="auto"/>
            </w:pPr>
            <w:r>
              <w:t>5.</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D42D9" w14:textId="00F28FBD" w:rsidR="002B162A" w:rsidRPr="002B162A" w:rsidRDefault="002B162A" w:rsidP="008C062A">
            <w:pPr>
              <w:spacing w:before="120" w:after="0" w:line="264" w:lineRule="auto"/>
            </w:pPr>
            <w:r w:rsidRPr="002B162A">
              <w:t>Łęczycka od nr 2 do nr 38 (parzyste), 38BL1, 38BL2, Przemysłowa, Adama Mickiewicza, Bolesława Prusa, Cicha, Cypriana Kamila Norwida, Władysława Broniewskiego, Boczna, Wiosenna, Generała Józefa Bema, Wąska, Zielona, Łąkowa, Brzozowa, Dębowa, Lipowa, Kasztanowa, Ignacego Paderewskiego, Południowa, Księdza Jerzego Popiełuszki, Stanisława Moniuszki, Krótka, Wspólna, Długa, Wrzosowa</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A3263" w14:textId="7451809D" w:rsidR="002B162A" w:rsidRPr="002B162A" w:rsidRDefault="002B162A" w:rsidP="008C062A">
            <w:pPr>
              <w:spacing w:before="120" w:after="0" w:line="264" w:lineRule="auto"/>
            </w:pPr>
            <w:r w:rsidRPr="002B162A">
              <w:t>Liceum Ogólnokształcące w Krośniewicach (wejście od ul. Łęczyckiej 19a), ul. Łęczycka 17, 99-340 Krośniewice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BB23F" w14:textId="55E02672" w:rsidR="002B162A" w:rsidRPr="002D6249" w:rsidRDefault="000A26E6" w:rsidP="00F83247">
            <w:pPr>
              <w:spacing w:after="0" w:line="264" w:lineRule="auto"/>
            </w:pPr>
            <w:r w:rsidRPr="000A26E6">
              <w:t>Osiedle nr 5</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1C9CA" w14:textId="75271F1D" w:rsidR="002B162A" w:rsidRDefault="002B162A" w:rsidP="008C062A">
            <w:pPr>
              <w:spacing w:before="120" w:after="0" w:line="264" w:lineRule="auto"/>
            </w:pPr>
            <w:r>
              <w:t>56,63%</w:t>
            </w:r>
          </w:p>
        </w:tc>
      </w:tr>
      <w:tr w:rsidR="002B162A" w:rsidRPr="002D6249" w14:paraId="4D631483" w14:textId="77777777" w:rsidTr="002B162A">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54314" w14:textId="1C6FF3FF" w:rsidR="002B162A" w:rsidRDefault="002B162A" w:rsidP="008C062A">
            <w:pPr>
              <w:spacing w:before="120" w:after="0" w:line="264" w:lineRule="auto"/>
            </w:pPr>
            <w:r>
              <w:t>6.</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B3486" w14:textId="7B069F69" w:rsidR="002B162A" w:rsidRPr="002B162A" w:rsidRDefault="002B162A" w:rsidP="008C062A">
            <w:pPr>
              <w:spacing w:before="120" w:after="0" w:line="264" w:lineRule="auto"/>
            </w:pPr>
            <w:r w:rsidRPr="002B162A">
              <w:t>Morawce, Stare Morawce, Krzewie, Rozpacz, Zosinek, Zalesie, Miłosna, Marynin, Wymysłów, Miłonice, Górki Miłońskie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AE5DA" w14:textId="6EA419B1" w:rsidR="002B162A" w:rsidRPr="002B162A" w:rsidRDefault="002B162A" w:rsidP="008C062A">
            <w:pPr>
              <w:spacing w:before="120" w:after="0" w:line="264" w:lineRule="auto"/>
            </w:pPr>
            <w:r w:rsidRPr="002B162A">
              <w:t>Remiza OSP Miłosna, Miłosna 7a, 99-340 Krośniewice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5BAD9" w14:textId="77777777" w:rsidR="00F83247" w:rsidRDefault="000A26E6" w:rsidP="00F83247">
            <w:pPr>
              <w:spacing w:after="0" w:line="264" w:lineRule="auto"/>
            </w:pPr>
            <w:r w:rsidRPr="000A26E6">
              <w:t>Sołectwo Morawce</w:t>
            </w:r>
          </w:p>
          <w:p w14:paraId="112D296C" w14:textId="77777777" w:rsidR="00F83247" w:rsidRDefault="000A26E6" w:rsidP="00F83247">
            <w:pPr>
              <w:spacing w:after="0" w:line="264" w:lineRule="auto"/>
            </w:pPr>
            <w:r w:rsidRPr="000A26E6">
              <w:t>Sołectwo Zalesie</w:t>
            </w:r>
          </w:p>
          <w:p w14:paraId="2D20A8A0" w14:textId="3056557F" w:rsidR="002B162A" w:rsidRPr="002D6249" w:rsidRDefault="000A26E6" w:rsidP="00F83247">
            <w:pPr>
              <w:spacing w:after="0" w:line="264" w:lineRule="auto"/>
            </w:pPr>
            <w:r w:rsidRPr="000A26E6">
              <w:t>Sołectwo Wymysłów</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1C017" w14:textId="67EE83A0" w:rsidR="002B162A" w:rsidRDefault="002B162A" w:rsidP="008C062A">
            <w:pPr>
              <w:spacing w:before="120" w:after="0" w:line="264" w:lineRule="auto"/>
            </w:pPr>
            <w:r>
              <w:t>62,32%</w:t>
            </w:r>
          </w:p>
        </w:tc>
      </w:tr>
      <w:tr w:rsidR="002B162A" w:rsidRPr="002D6249" w14:paraId="430CC5C5" w14:textId="77777777" w:rsidTr="002B162A">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E665E" w14:textId="52600873" w:rsidR="002B162A" w:rsidRDefault="002B162A" w:rsidP="008C062A">
            <w:pPr>
              <w:spacing w:before="120" w:after="0" w:line="264" w:lineRule="auto"/>
            </w:pPr>
            <w:r>
              <w:t>7.</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9EFAE" w14:textId="7033AC9C" w:rsidR="002B162A" w:rsidRPr="002B162A" w:rsidRDefault="000A26E6" w:rsidP="008C062A">
            <w:pPr>
              <w:spacing w:before="120" w:after="0" w:line="264" w:lineRule="auto"/>
            </w:pPr>
            <w:r w:rsidRPr="000A26E6">
              <w:t>Suchodoły, Franki, Wychny, Kopyta, Nowe Jankowice, Jankowice, Cudniki, Głogowa</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C9D48" w14:textId="533B5750" w:rsidR="002B162A" w:rsidRPr="002B162A" w:rsidRDefault="000A26E6" w:rsidP="008C062A">
            <w:pPr>
              <w:spacing w:before="120" w:after="0" w:line="264" w:lineRule="auto"/>
            </w:pPr>
            <w:r w:rsidRPr="000A26E6">
              <w:t>Szkoła Podstawowa Fundacji "Elementarz" z Oddziałem Przedszkolnym w Jankowicach, Jankowice 32, 99-340 Krośniewice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A70B8" w14:textId="77777777" w:rsidR="00F83247" w:rsidRDefault="000A26E6" w:rsidP="00F83247">
            <w:pPr>
              <w:spacing w:after="0" w:line="264" w:lineRule="auto"/>
            </w:pPr>
            <w:r w:rsidRPr="000A26E6">
              <w:t>Sołectwo Suchodoły</w:t>
            </w:r>
          </w:p>
          <w:p w14:paraId="3D5D63F6" w14:textId="4B15DE35" w:rsidR="00F83247" w:rsidRDefault="000A26E6" w:rsidP="00F83247">
            <w:pPr>
              <w:spacing w:after="0" w:line="264" w:lineRule="auto"/>
            </w:pPr>
            <w:r w:rsidRPr="000A26E6">
              <w:t>Sołectwo Franki</w:t>
            </w:r>
          </w:p>
          <w:p w14:paraId="0FAAC068" w14:textId="42C3180A" w:rsidR="002B162A" w:rsidRPr="002B162A" w:rsidRDefault="000A26E6" w:rsidP="00F83247">
            <w:pPr>
              <w:spacing w:after="0" w:line="264" w:lineRule="auto"/>
            </w:pPr>
            <w:r w:rsidRPr="000A26E6">
              <w:t>Sołectwo Wychny Sołectwo Jankowice</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402D1" w14:textId="0B7AF826" w:rsidR="002B162A" w:rsidRDefault="000A26E6" w:rsidP="008C062A">
            <w:pPr>
              <w:spacing w:before="120" w:after="0" w:line="264" w:lineRule="auto"/>
            </w:pPr>
            <w:r>
              <w:t>57,21%</w:t>
            </w:r>
          </w:p>
        </w:tc>
      </w:tr>
      <w:tr w:rsidR="000A26E6" w:rsidRPr="002D6249" w14:paraId="02659765" w14:textId="77777777" w:rsidTr="002B162A">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D428F" w14:textId="2240C424" w:rsidR="000A26E6" w:rsidRDefault="000A26E6" w:rsidP="008C062A">
            <w:pPr>
              <w:spacing w:before="120" w:after="0" w:line="264" w:lineRule="auto"/>
            </w:pPr>
            <w:r>
              <w:t>8.</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F39A0" w14:textId="0F69EC86" w:rsidR="000A26E6" w:rsidRPr="000A26E6" w:rsidRDefault="000A26E6" w:rsidP="008C062A">
            <w:pPr>
              <w:spacing w:before="120" w:after="0" w:line="264" w:lineRule="auto"/>
            </w:pPr>
            <w:r w:rsidRPr="000A26E6">
              <w:t>Nowe, Skłóty, Wola Nowska, Szubina, Iwiczna, Pomarzany, Pawlikowice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26227" w14:textId="1F13087B" w:rsidR="000A26E6" w:rsidRPr="000A26E6" w:rsidRDefault="000A26E6" w:rsidP="008C062A">
            <w:pPr>
              <w:spacing w:before="120" w:after="0" w:line="264" w:lineRule="auto"/>
            </w:pPr>
            <w:r w:rsidRPr="000A26E6">
              <w:t>Szkoła Podstawowa im. gen. Władysława Andersa w Nowem, Nowe 36, 99-340 Krośniewice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C4065" w14:textId="7FB058B7" w:rsidR="000A26E6" w:rsidRPr="000A26E6" w:rsidRDefault="000A26E6" w:rsidP="008C062A">
            <w:pPr>
              <w:spacing w:before="120" w:after="0" w:line="264" w:lineRule="auto"/>
            </w:pPr>
            <w:r w:rsidRPr="000A26E6">
              <w:t>Sołectwo Nowe Sołectwo Wola Nowska Sołectwo Szubina Sołectwo Pomarzany Sołectwo Pawlikowice</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F2E72" w14:textId="0985E177" w:rsidR="000A26E6" w:rsidRDefault="000A26E6" w:rsidP="008C062A">
            <w:pPr>
              <w:spacing w:before="120" w:after="0" w:line="264" w:lineRule="auto"/>
            </w:pPr>
            <w:r>
              <w:t>47,46%</w:t>
            </w:r>
          </w:p>
        </w:tc>
      </w:tr>
      <w:tr w:rsidR="000A26E6" w:rsidRPr="002D6249" w14:paraId="358FDEDE" w14:textId="77777777" w:rsidTr="002B162A">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986C1" w14:textId="386C7563" w:rsidR="000A26E6" w:rsidRDefault="000A26E6" w:rsidP="008C062A">
            <w:pPr>
              <w:spacing w:before="120" w:after="0" w:line="264" w:lineRule="auto"/>
            </w:pPr>
            <w:r>
              <w:t>9.</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361AC" w14:textId="3FA73920" w:rsidR="000A26E6" w:rsidRPr="000A26E6" w:rsidRDefault="000A26E6" w:rsidP="008C062A">
            <w:pPr>
              <w:spacing w:before="120" w:after="0" w:line="264" w:lineRule="auto"/>
            </w:pPr>
            <w:r w:rsidRPr="000A26E6">
              <w:t>Zieleniew, Luboradz, Godzięby, Szubsk-Towarzystwo, Cygany, Szubsk Duży, Witów</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6C8DF" w14:textId="0FADB9A4" w:rsidR="000A26E6" w:rsidRPr="000A26E6" w:rsidRDefault="000A26E6" w:rsidP="008C062A">
            <w:pPr>
              <w:spacing w:before="120" w:after="0" w:line="264" w:lineRule="auto"/>
            </w:pPr>
            <w:r w:rsidRPr="000A26E6">
              <w:t>Szkoła Podstawowa im. gen. Władysława Andersa w Nowem, Nowe 36, 99-340 Krośniewice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E2C64" w14:textId="77777777" w:rsidR="00F83247" w:rsidRDefault="000A26E6" w:rsidP="00F83247">
            <w:pPr>
              <w:spacing w:after="0" w:line="264" w:lineRule="auto"/>
            </w:pPr>
            <w:r w:rsidRPr="000A26E6">
              <w:t>Sołectwo Zieleniew</w:t>
            </w:r>
          </w:p>
          <w:p w14:paraId="6B3DE5D4" w14:textId="77777777" w:rsidR="00F83247" w:rsidRDefault="000A26E6" w:rsidP="00F83247">
            <w:pPr>
              <w:spacing w:after="0" w:line="264" w:lineRule="auto"/>
            </w:pPr>
            <w:r w:rsidRPr="000A26E6">
              <w:t xml:space="preserve">Sołectwo Luboradz Sołectwo Szubsk-Towarzystwo </w:t>
            </w:r>
          </w:p>
          <w:p w14:paraId="392EB7E6" w14:textId="5051BFF4" w:rsidR="00F83247" w:rsidRDefault="000A26E6" w:rsidP="00F83247">
            <w:pPr>
              <w:spacing w:after="0" w:line="264" w:lineRule="auto"/>
            </w:pPr>
            <w:r w:rsidRPr="000A26E6">
              <w:t>Sołectwo Szubsk Duży</w:t>
            </w:r>
          </w:p>
          <w:p w14:paraId="0424CE22" w14:textId="30C5F545" w:rsidR="000A26E6" w:rsidRPr="000A26E6" w:rsidRDefault="000A26E6" w:rsidP="00F83247">
            <w:pPr>
              <w:spacing w:after="0" w:line="264" w:lineRule="auto"/>
            </w:pPr>
            <w:r w:rsidRPr="000A26E6">
              <w:t>Sołectwo Witów</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4ADE5" w14:textId="5E89C171" w:rsidR="000A26E6" w:rsidRDefault="000A26E6" w:rsidP="008C062A">
            <w:pPr>
              <w:spacing w:before="120" w:after="0" w:line="264" w:lineRule="auto"/>
            </w:pPr>
            <w:r>
              <w:t>55,16%</w:t>
            </w:r>
          </w:p>
        </w:tc>
      </w:tr>
      <w:tr w:rsidR="000A26E6" w:rsidRPr="002D6249" w14:paraId="27C67643" w14:textId="77777777" w:rsidTr="002B162A">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0E73D" w14:textId="32EB4BA1" w:rsidR="000A26E6" w:rsidRDefault="000A26E6" w:rsidP="008C062A">
            <w:pPr>
              <w:spacing w:before="120" w:after="0" w:line="264" w:lineRule="auto"/>
            </w:pPr>
            <w:r>
              <w:t>10.</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3D25E" w14:textId="2D7F637D" w:rsidR="000A26E6" w:rsidRPr="000A26E6" w:rsidRDefault="000A26E6" w:rsidP="008C062A">
            <w:pPr>
              <w:spacing w:before="120" w:after="0" w:line="264" w:lineRule="auto"/>
            </w:pPr>
            <w:r w:rsidRPr="000A26E6">
              <w:t>Kajew, osada Błonie, Kopy</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A5DBA" w14:textId="742E45A0" w:rsidR="000A26E6" w:rsidRPr="000A26E6" w:rsidRDefault="000A26E6" w:rsidP="008C062A">
            <w:pPr>
              <w:spacing w:before="120" w:after="0" w:line="264" w:lineRule="auto"/>
            </w:pPr>
            <w:r w:rsidRPr="000A26E6">
              <w:t>Remiza OSP, Kajew 125, 99-340 Krośniewice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A92E5" w14:textId="40A6EF53" w:rsidR="000A26E6" w:rsidRPr="000A26E6" w:rsidRDefault="000A26E6" w:rsidP="00F83247">
            <w:pPr>
              <w:spacing w:after="0" w:line="264" w:lineRule="auto"/>
            </w:pPr>
            <w:r w:rsidRPr="000A26E6">
              <w:t>Sołectwo Kajew Sołectwo Kopy</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22B5E" w14:textId="7DAAFB38" w:rsidR="000A26E6" w:rsidRDefault="000A26E6" w:rsidP="008C062A">
            <w:pPr>
              <w:spacing w:before="120" w:after="0" w:line="264" w:lineRule="auto"/>
            </w:pPr>
            <w:r>
              <w:t>55,10%</w:t>
            </w:r>
          </w:p>
        </w:tc>
      </w:tr>
    </w:tbl>
    <w:bookmarkEnd w:id="99"/>
    <w:p w14:paraId="5486CBB9" w14:textId="7BCAE8D2" w:rsidR="008C062A" w:rsidRPr="008C062A" w:rsidRDefault="008C062A" w:rsidP="008C062A">
      <w:pPr>
        <w:spacing w:before="120" w:after="0"/>
      </w:pPr>
      <w:r>
        <w:t xml:space="preserve">Źródło: PKW i opracowanie własne </w:t>
      </w:r>
    </w:p>
    <w:p w14:paraId="2B584B2F" w14:textId="74804474" w:rsidR="0077764C" w:rsidRDefault="008C062A" w:rsidP="002B162A">
      <w:pPr>
        <w:spacing w:before="120" w:after="0" w:line="264" w:lineRule="auto"/>
        <w:rPr>
          <w:sz w:val="24"/>
          <w:szCs w:val="24"/>
        </w:rPr>
      </w:pPr>
      <w:r>
        <w:rPr>
          <w:sz w:val="24"/>
          <w:szCs w:val="24"/>
        </w:rPr>
        <w:t>Analiza danych PKW 2024 pokazuje, że frekwencja wyborcza w wyborach samorządowych w 2024 roku w gminie</w:t>
      </w:r>
      <w:r w:rsidR="002B162A">
        <w:rPr>
          <w:sz w:val="24"/>
          <w:szCs w:val="24"/>
        </w:rPr>
        <w:t xml:space="preserve"> Krośniewice</w:t>
      </w:r>
      <w:r>
        <w:rPr>
          <w:sz w:val="24"/>
          <w:szCs w:val="24"/>
        </w:rPr>
        <w:t xml:space="preserve"> </w:t>
      </w:r>
      <w:r w:rsidRPr="00AD2D77">
        <w:rPr>
          <w:sz w:val="24"/>
          <w:szCs w:val="24"/>
        </w:rPr>
        <w:t>(</w:t>
      </w:r>
      <w:r w:rsidR="002B162A" w:rsidRPr="00AD2D77">
        <w:rPr>
          <w:sz w:val="24"/>
          <w:szCs w:val="24"/>
        </w:rPr>
        <w:t>54,70</w:t>
      </w:r>
      <w:r w:rsidRPr="00AD2D77">
        <w:rPr>
          <w:sz w:val="24"/>
          <w:szCs w:val="24"/>
        </w:rPr>
        <w:t xml:space="preserve">%) </w:t>
      </w:r>
      <w:r>
        <w:rPr>
          <w:sz w:val="24"/>
          <w:szCs w:val="24"/>
        </w:rPr>
        <w:t xml:space="preserve">była bardzo wysoka i wyniosła powyżej średniej krajowej, wojewódzkiej i powiatowej. Frekwencja ta była wyższa niż średnia dla kraju (51,99%) i regionu </w:t>
      </w:r>
      <w:r w:rsidR="002B162A">
        <w:rPr>
          <w:sz w:val="24"/>
          <w:szCs w:val="24"/>
        </w:rPr>
        <w:t>(</w:t>
      </w:r>
      <w:r w:rsidR="002B162A" w:rsidRPr="002B162A">
        <w:rPr>
          <w:sz w:val="24"/>
          <w:szCs w:val="24"/>
        </w:rPr>
        <w:t>53,61%</w:t>
      </w:r>
      <w:r w:rsidR="002B162A">
        <w:rPr>
          <w:sz w:val="24"/>
          <w:szCs w:val="24"/>
        </w:rPr>
        <w:t xml:space="preserve">) </w:t>
      </w:r>
      <w:r>
        <w:rPr>
          <w:sz w:val="24"/>
          <w:szCs w:val="24"/>
        </w:rPr>
        <w:t xml:space="preserve">oraz powiatu </w:t>
      </w:r>
      <w:r w:rsidR="002B162A">
        <w:rPr>
          <w:sz w:val="24"/>
          <w:szCs w:val="24"/>
        </w:rPr>
        <w:t xml:space="preserve">kutnowskiego </w:t>
      </w:r>
      <w:r>
        <w:rPr>
          <w:sz w:val="24"/>
          <w:szCs w:val="24"/>
        </w:rPr>
        <w:t>(</w:t>
      </w:r>
      <w:r w:rsidR="002B162A" w:rsidRPr="002B162A">
        <w:rPr>
          <w:sz w:val="24"/>
          <w:szCs w:val="24"/>
        </w:rPr>
        <w:t>51,48</w:t>
      </w:r>
      <w:r>
        <w:rPr>
          <w:sz w:val="24"/>
          <w:szCs w:val="24"/>
        </w:rPr>
        <w:t>%). Wyższa frekwencja odnotowana została na terenie miasta (</w:t>
      </w:r>
      <w:r w:rsidR="002B162A" w:rsidRPr="002B162A">
        <w:rPr>
          <w:sz w:val="24"/>
          <w:szCs w:val="24"/>
        </w:rPr>
        <w:t>55,39</w:t>
      </w:r>
      <w:r>
        <w:rPr>
          <w:sz w:val="24"/>
          <w:szCs w:val="24"/>
        </w:rPr>
        <w:t>%) niż na terenie wiejskim (</w:t>
      </w:r>
      <w:r w:rsidR="002B162A" w:rsidRPr="002B162A">
        <w:rPr>
          <w:sz w:val="24"/>
          <w:szCs w:val="24"/>
        </w:rPr>
        <w:t>53,73</w:t>
      </w:r>
      <w:r>
        <w:rPr>
          <w:sz w:val="24"/>
          <w:szCs w:val="24"/>
        </w:rPr>
        <w:t xml:space="preserve">%). Wynik jest jednak zbliżony do średnich </w:t>
      </w:r>
      <w:r>
        <w:rPr>
          <w:sz w:val="24"/>
          <w:szCs w:val="24"/>
        </w:rPr>
        <w:lastRenderedPageBreak/>
        <w:t xml:space="preserve">krajowych dla wyborów lokalnych, nie świadczy o szczególnie niskiej ani nadzwyczaj wysokiej mobilizacji mieszkańców gminy. </w:t>
      </w:r>
    </w:p>
    <w:p w14:paraId="5C8DD740" w14:textId="115DFF48" w:rsidR="002B162A" w:rsidRDefault="00F83247" w:rsidP="002B162A">
      <w:pPr>
        <w:spacing w:before="120" w:after="0" w:line="264" w:lineRule="auto"/>
        <w:rPr>
          <w:sz w:val="24"/>
          <w:szCs w:val="24"/>
        </w:rPr>
      </w:pPr>
      <w:r w:rsidRPr="00F83247">
        <w:rPr>
          <w:sz w:val="24"/>
          <w:szCs w:val="24"/>
        </w:rPr>
        <w:t xml:space="preserve">Analiza </w:t>
      </w:r>
      <w:r w:rsidRPr="00F83247">
        <w:rPr>
          <w:b/>
          <w:bCs/>
          <w:sz w:val="24"/>
          <w:szCs w:val="24"/>
        </w:rPr>
        <w:t>przeprowadzona na poziomie osiedli i sołectw</w:t>
      </w:r>
      <w:r w:rsidRPr="00F83247">
        <w:rPr>
          <w:sz w:val="24"/>
          <w:szCs w:val="24"/>
        </w:rPr>
        <w:t xml:space="preserve"> pokazuje wyraźne skupienia problemów społecznych w: </w:t>
      </w:r>
      <w:r w:rsidRPr="00F83247">
        <w:rPr>
          <w:b/>
          <w:bCs/>
          <w:sz w:val="24"/>
          <w:szCs w:val="24"/>
        </w:rPr>
        <w:t>Osiedlu nr 3 i 4 (miasto)</w:t>
      </w:r>
      <w:r w:rsidRPr="00F83247">
        <w:rPr>
          <w:sz w:val="24"/>
          <w:szCs w:val="24"/>
        </w:rPr>
        <w:t xml:space="preserve"> oraz w wiejskich klastrach wokół </w:t>
      </w:r>
      <w:r w:rsidRPr="00F83247">
        <w:rPr>
          <w:b/>
          <w:bCs/>
          <w:sz w:val="24"/>
          <w:szCs w:val="24"/>
        </w:rPr>
        <w:t>Nowe / Wola Nowska / Szubina / Pomarzany / Teresin / Franki / Zieleniew</w:t>
      </w:r>
      <w:r w:rsidRPr="00F83247">
        <w:rPr>
          <w:sz w:val="24"/>
          <w:szCs w:val="24"/>
        </w:rPr>
        <w:t xml:space="preserve">. Te jednostki urbanistyczne łączą </w:t>
      </w:r>
      <w:r w:rsidRPr="00F83247">
        <w:rPr>
          <w:b/>
          <w:bCs/>
          <w:sz w:val="24"/>
          <w:szCs w:val="24"/>
        </w:rPr>
        <w:t>istotne spadki demograficzne</w:t>
      </w:r>
      <w:r w:rsidRPr="00F83247">
        <w:rPr>
          <w:sz w:val="24"/>
          <w:szCs w:val="24"/>
        </w:rPr>
        <w:t xml:space="preserve"> z </w:t>
      </w:r>
      <w:r w:rsidRPr="00F83247">
        <w:rPr>
          <w:b/>
          <w:bCs/>
          <w:sz w:val="24"/>
          <w:szCs w:val="24"/>
        </w:rPr>
        <w:t>niską frekwencją</w:t>
      </w:r>
      <w:r w:rsidRPr="00F83247">
        <w:rPr>
          <w:sz w:val="24"/>
          <w:szCs w:val="24"/>
        </w:rPr>
        <w:t xml:space="preserve"> (lub z ekstremalnym spadkiem ludności) — co czyni je priorytetowymi obszarami interwencji rewitalizacyjnej i społecznej. Jednocześnie obszary o wysokiej frekwencji (np. Morawce/Zalesie/Wymysłów) stanowią potencjalne „węzły odporności”, z których warto wyprowadzać dobre praktyki partycypacyjne i animatorów lokalnych.</w:t>
      </w:r>
    </w:p>
    <w:p w14:paraId="764EF81E" w14:textId="266828D1" w:rsidR="00941835" w:rsidRPr="00941835" w:rsidRDefault="00941835" w:rsidP="00941835">
      <w:pPr>
        <w:spacing w:before="120" w:after="0" w:line="264" w:lineRule="auto"/>
        <w:rPr>
          <w:sz w:val="24"/>
          <w:szCs w:val="24"/>
        </w:rPr>
      </w:pPr>
      <w:r w:rsidRPr="00941835">
        <w:rPr>
          <w:sz w:val="24"/>
          <w:szCs w:val="24"/>
        </w:rPr>
        <w:t>Analiza zasobów i potrzeb w obszarze polityki społecznej</w:t>
      </w:r>
      <w:r>
        <w:rPr>
          <w:rStyle w:val="Odwoanieprzypisudolnego"/>
          <w:sz w:val="24"/>
          <w:szCs w:val="24"/>
        </w:rPr>
        <w:footnoteReference w:id="22"/>
      </w:r>
      <w:r>
        <w:rPr>
          <w:sz w:val="24"/>
          <w:szCs w:val="24"/>
        </w:rPr>
        <w:t xml:space="preserve"> </w:t>
      </w:r>
      <w:r w:rsidRPr="00941835">
        <w:rPr>
          <w:sz w:val="24"/>
          <w:szCs w:val="24"/>
        </w:rPr>
        <w:t>wskazuje na utrzymujący się, wielowymiarowy problem społeczny o charakterze zarówno materialnym, jak i opiekuńczym. Liczba osób korzystających ze świadczeń administracyjnych spadła z 717 w 2018 r. do 420 w 2024 r., przy równoczesnej koncentracji i pogłębieniu potrzeb — co oznacza spadek liczby osób objętych świadczeniami, lecz wzrost intensywności i złożoności problemów u pozostałych beneficjentów</w:t>
      </w:r>
      <w:r>
        <w:rPr>
          <w:sz w:val="24"/>
          <w:szCs w:val="24"/>
        </w:rPr>
        <w:t xml:space="preserve">. </w:t>
      </w:r>
      <w:r w:rsidRPr="00941835">
        <w:rPr>
          <w:sz w:val="24"/>
          <w:szCs w:val="24"/>
        </w:rPr>
        <w:t xml:space="preserve">Główne czynniki determinujące ubóstwo i wykluczenie </w:t>
      </w:r>
      <w:r>
        <w:rPr>
          <w:sz w:val="24"/>
          <w:szCs w:val="24"/>
        </w:rPr>
        <w:t xml:space="preserve">w Gminie Krośniewice </w:t>
      </w:r>
      <w:r w:rsidRPr="00941835">
        <w:rPr>
          <w:sz w:val="24"/>
          <w:szCs w:val="24"/>
        </w:rPr>
        <w:t xml:space="preserve">to </w:t>
      </w:r>
      <w:r w:rsidRPr="00941835">
        <w:rPr>
          <w:b/>
          <w:bCs/>
          <w:sz w:val="24"/>
          <w:szCs w:val="24"/>
        </w:rPr>
        <w:t>bezrobocie (176 rodzin)</w:t>
      </w:r>
      <w:r w:rsidRPr="00941835">
        <w:rPr>
          <w:sz w:val="24"/>
          <w:szCs w:val="24"/>
        </w:rPr>
        <w:t xml:space="preserve"> i </w:t>
      </w:r>
      <w:r w:rsidRPr="00941835">
        <w:rPr>
          <w:b/>
          <w:bCs/>
          <w:sz w:val="24"/>
          <w:szCs w:val="24"/>
        </w:rPr>
        <w:t>ubóstwo (148 rodzin)</w:t>
      </w:r>
      <w:r w:rsidRPr="00941835">
        <w:rPr>
          <w:sz w:val="24"/>
          <w:szCs w:val="24"/>
        </w:rPr>
        <w:t xml:space="preserve">; istotne znaczenie mają także </w:t>
      </w:r>
      <w:r w:rsidRPr="00941835">
        <w:rPr>
          <w:b/>
          <w:bCs/>
          <w:sz w:val="24"/>
          <w:szCs w:val="24"/>
        </w:rPr>
        <w:t>długotrwałe lub ciężkie choroby (109 rodzin)</w:t>
      </w:r>
      <w:r w:rsidRPr="00941835">
        <w:rPr>
          <w:sz w:val="24"/>
          <w:szCs w:val="24"/>
        </w:rPr>
        <w:t xml:space="preserve"> oraz </w:t>
      </w:r>
      <w:r w:rsidRPr="00941835">
        <w:rPr>
          <w:b/>
          <w:bCs/>
          <w:sz w:val="24"/>
          <w:szCs w:val="24"/>
        </w:rPr>
        <w:t>niepełnosprawność (91 rodzin)</w:t>
      </w:r>
      <w:r w:rsidRPr="00941835">
        <w:rPr>
          <w:sz w:val="24"/>
          <w:szCs w:val="24"/>
        </w:rPr>
        <w:t>. W praktyce skala zjawisk łączy deficyty dochodowe z rosnącymi potrzebami opiekuńczymi, co przekłada się na dużą liczbę świadczeń opiekuńczych i pielęgnacyjnych oraz intensywne wykorzystanie świadczeń niepieniężnych (ok. 90% przypadków świadczeń liczonych wg liczby świadczeń stanowią formy niepieniężne, np. posiłki szkolne)</w:t>
      </w:r>
      <w:r>
        <w:rPr>
          <w:sz w:val="24"/>
          <w:szCs w:val="24"/>
        </w:rPr>
        <w:t>.</w:t>
      </w:r>
    </w:p>
    <w:p w14:paraId="689A70B7" w14:textId="77777777" w:rsidR="00941835" w:rsidRPr="00941835" w:rsidRDefault="00941835" w:rsidP="00941835">
      <w:pPr>
        <w:spacing w:before="120" w:after="0" w:line="264" w:lineRule="auto"/>
        <w:rPr>
          <w:sz w:val="24"/>
          <w:szCs w:val="24"/>
        </w:rPr>
      </w:pPr>
      <w:r w:rsidRPr="00941835">
        <w:rPr>
          <w:sz w:val="24"/>
          <w:szCs w:val="24"/>
        </w:rPr>
        <w:t xml:space="preserve">Wskazane powyżej procesy demograficzno-społeczne powodują istotne obciążenie sektora opieki: liczba osób korzystających z usług opiekuńczych wzrosła z 45 (2018) do 61 (2024), a wydatki na świadczenia opiekuńcze (w tym zasiłki pielęgnacyjne i świadczenia pielęgnacyjne) uległy znacznemu zwiększeniu — łączne wydatki na świadczenia opiekuńcze wzrosły do kilku milionów złotych w 2024 r. (wartość w raporcie) — co sygnalizuje rosnący popyt na usługi dzienne i domową opiekę dla osób starszych i niepełnosprawnych </w:t>
      </w:r>
    </w:p>
    <w:p w14:paraId="6171190E" w14:textId="77777777" w:rsidR="00941835" w:rsidRPr="00941835" w:rsidRDefault="00941835" w:rsidP="00941835">
      <w:pPr>
        <w:spacing w:before="120" w:after="0" w:line="264" w:lineRule="auto"/>
        <w:rPr>
          <w:sz w:val="24"/>
          <w:szCs w:val="24"/>
        </w:rPr>
      </w:pPr>
      <w:r w:rsidRPr="00941835">
        <w:rPr>
          <w:sz w:val="24"/>
          <w:szCs w:val="24"/>
        </w:rPr>
        <w:t xml:space="preserve">Równocześnie występują istotne luki w zasobach i działaniach instytucjonalnych: brak żłobków, ograniczona sieć placówek wsparcia dziennego i brak lokalnych form schronienia/noclegowni, a także praktyczny brak zorganizowanych programów reintegracyjnych i kontraktów socjalnych — wskaźnik pracy socjalnej (stosunek rodzin objętych pracą socjalną do rodzin, którym przyznano świadczenie) spadł do </w:t>
      </w:r>
      <w:r w:rsidRPr="00941835">
        <w:rPr>
          <w:b/>
          <w:bCs/>
          <w:sz w:val="24"/>
          <w:szCs w:val="24"/>
        </w:rPr>
        <w:t>0,32% w 2024 r.</w:t>
      </w:r>
      <w:r w:rsidRPr="00941835">
        <w:rPr>
          <w:sz w:val="24"/>
          <w:szCs w:val="24"/>
        </w:rPr>
        <w:t xml:space="preserve">, a liczba projektów socjalnych i kontraktów jest znikoma. Taka redukcja aktywności pracy socjalnej ogranicza zdolność do pracy środowiskowej, profilaktyki i długofalowej aktywizacji rodzin korzystających ze świadczeń </w:t>
      </w:r>
    </w:p>
    <w:p w14:paraId="726C8CD4" w14:textId="77777777" w:rsidR="00941835" w:rsidRPr="00941835" w:rsidRDefault="00941835" w:rsidP="00941835">
      <w:pPr>
        <w:spacing w:before="120" w:after="0" w:line="264" w:lineRule="auto"/>
        <w:rPr>
          <w:sz w:val="24"/>
          <w:szCs w:val="24"/>
        </w:rPr>
      </w:pPr>
      <w:r w:rsidRPr="00941835">
        <w:rPr>
          <w:sz w:val="24"/>
          <w:szCs w:val="24"/>
        </w:rPr>
        <w:t xml:space="preserve">Wskaźnik deprywacji lokalnej utrzymuje się na poziomie około </w:t>
      </w:r>
      <w:r w:rsidRPr="00941835">
        <w:rPr>
          <w:b/>
          <w:bCs/>
          <w:sz w:val="24"/>
          <w:szCs w:val="24"/>
        </w:rPr>
        <w:t>5,5% (2024)</w:t>
      </w:r>
      <w:r w:rsidRPr="00941835">
        <w:rPr>
          <w:sz w:val="24"/>
          <w:szCs w:val="24"/>
        </w:rPr>
        <w:t xml:space="preserve"> — wyróżniając wyraźne skupiska marginalizacji — a połączenie wysokiej liczby gospodarstw objętych dodatkami mieszkaniowymi i zasiłkami z rosnącymi kosztami świadczeń opiekuńczych stawia przed gminą wyzwania finansowo-organizacyjne. Ponadto dokument potwierdza przestrzenną koncentrację ryzyk: największe natężenie problemów społecznych występuje w jednostkach wykazujących silne </w:t>
      </w:r>
      <w:r w:rsidRPr="00941835">
        <w:rPr>
          <w:sz w:val="24"/>
          <w:szCs w:val="24"/>
        </w:rPr>
        <w:lastRenderedPageBreak/>
        <w:t xml:space="preserve">ubytki demograficzne (wybrane sołectwa i osiedla), co wymaga podejścia ukierunkowanego terytorialnie </w:t>
      </w:r>
    </w:p>
    <w:p w14:paraId="5EA721F3" w14:textId="64952F4A" w:rsidR="00941835" w:rsidRDefault="00941835" w:rsidP="00941835">
      <w:pPr>
        <w:spacing w:before="120" w:after="0" w:line="264" w:lineRule="auto"/>
        <w:rPr>
          <w:sz w:val="24"/>
          <w:szCs w:val="24"/>
        </w:rPr>
      </w:pPr>
      <w:r w:rsidRPr="00941835">
        <w:rPr>
          <w:b/>
          <w:bCs/>
          <w:sz w:val="24"/>
          <w:szCs w:val="24"/>
        </w:rPr>
        <w:t>Implikacje dla polityki lokalnej (krótkie):</w:t>
      </w:r>
      <w:r w:rsidRPr="00941835">
        <w:rPr>
          <w:sz w:val="24"/>
          <w:szCs w:val="24"/>
        </w:rPr>
        <w:t xml:space="preserve"> konieczne jest pilne </w:t>
      </w:r>
      <w:r w:rsidRPr="00941835">
        <w:rPr>
          <w:b/>
          <w:bCs/>
          <w:sz w:val="24"/>
          <w:szCs w:val="24"/>
        </w:rPr>
        <w:t>wzmocnienie pracy socjalnej i programów aktywizacyjnych</w:t>
      </w:r>
      <w:r w:rsidRPr="00941835">
        <w:rPr>
          <w:sz w:val="24"/>
          <w:szCs w:val="24"/>
        </w:rPr>
        <w:t>, rozwój usług opiekuńczych (opieka dzienna, opieka specjalistyczna, wsparcie dla opiekunów), poszerzenie dostępności usług dla rodzin z małymi dziećmi (szczególnie utworzenie żłobka/klubu dziecięcego), zwiększenie zasobu mieszkań socjalnych oraz rozwinięcie projektów środowiskowych i partnerskich z NGO — wszystkie działania powinny być adresowane priorytetowo do jednostek urbanistycznych o najwyższym natężeniu problemów, przy jednoczesnym zabezpieczeniu źródeł finansowania i wzmocnieniu kadrowym OPS (szkolenia, superwizja</w:t>
      </w:r>
      <w:r>
        <w:rPr>
          <w:sz w:val="24"/>
          <w:szCs w:val="24"/>
        </w:rPr>
        <w:t xml:space="preserve">). </w:t>
      </w:r>
    </w:p>
    <w:p w14:paraId="191E02D7" w14:textId="2F5FB757" w:rsidR="00322E88" w:rsidRDefault="00F52AD8" w:rsidP="00F52AD8">
      <w:pPr>
        <w:spacing w:before="120" w:after="0" w:line="264" w:lineRule="auto"/>
        <w:rPr>
          <w:sz w:val="24"/>
          <w:szCs w:val="24"/>
        </w:rPr>
      </w:pPr>
      <w:r>
        <w:rPr>
          <w:sz w:val="24"/>
          <w:szCs w:val="24"/>
        </w:rPr>
        <w:t xml:space="preserve">Na potrzeby analizy problemu bezrobocia dokono analizy wartości wskaźnika </w:t>
      </w:r>
      <w:r w:rsidRPr="00F52AD8">
        <w:rPr>
          <w:sz w:val="24"/>
          <w:szCs w:val="24"/>
        </w:rPr>
        <w:t xml:space="preserve">liczba osób bezrobotnych </w:t>
      </w:r>
      <w:r>
        <w:rPr>
          <w:sz w:val="24"/>
          <w:szCs w:val="24"/>
        </w:rPr>
        <w:t xml:space="preserve">na 100 mieszkańców. </w:t>
      </w:r>
      <w:r w:rsidRPr="00F52AD8">
        <w:rPr>
          <w:sz w:val="24"/>
          <w:szCs w:val="24"/>
        </w:rPr>
        <w:t xml:space="preserve">Całkowita liczba zarejestrowanych bezrobotnych w gminie Krośniewice wynosiła 346 osób na dzień 31.12.2024 r.; z tej puli, przy wykorzystaniu danych o </w:t>
      </w:r>
      <w:r w:rsidRPr="00322E88">
        <w:rPr>
          <w:sz w:val="24"/>
          <w:szCs w:val="24"/>
        </w:rPr>
        <w:t>liczbie mieszkańców i jakościowej ocenie sytuacji dochodowej jednostek, oszacowano średni wskaźnik bezrobotnych na 100 mieszkańców dla gminy na poziomie około 4,58 (średnia ważona)</w:t>
      </w:r>
      <w:r w:rsidRPr="00322E88">
        <w:rPr>
          <w:rStyle w:val="Odwoanieprzypisudolnego"/>
          <w:sz w:val="24"/>
          <w:szCs w:val="24"/>
        </w:rPr>
        <w:footnoteReference w:id="23"/>
      </w:r>
      <w:r w:rsidRPr="00322E88">
        <w:rPr>
          <w:sz w:val="24"/>
          <w:szCs w:val="24"/>
        </w:rPr>
        <w:t>. Wyliczenia zostały dokonana na podstawie liczby o zarejestrowanych w Powiatowym Urzędzie Pracy w Kutnie wg stanu na dzień 31 grudnia 2024 r. która wynosiła: w powiecie kutnowskim 2832 osoby, w gminie Krośniewice – 346 osób. Analiza została dokonana metodą algorytmową. Celem było oszacowanie liczby bezrobotnych na 100 mieszkańców dla 6 osiedli i 22 sołectw, przy użyciu łącznej liczby bezrobotnych w gminie (346 osób)</w:t>
      </w:r>
      <w:r w:rsidRPr="00322E88">
        <w:rPr>
          <w:rStyle w:val="Odwoanieprzypisudolnego"/>
          <w:sz w:val="24"/>
          <w:szCs w:val="24"/>
        </w:rPr>
        <w:footnoteReference w:id="24"/>
      </w:r>
      <w:r w:rsidRPr="00322E88">
        <w:rPr>
          <w:sz w:val="24"/>
          <w:szCs w:val="24"/>
        </w:rPr>
        <w:t>. Analiza przestrzenna wskazuje wyraźną koncentrację problemu w ośrodkach miejskich: Osiedla nr 1, 2 i 3 są obszarami o najsilniejszym natężeniu bezrobocia — oszacowany wskaźnik wynosi tam ok. 7,56 bezrobotnych na 100 mieszkańców, a największa część puli bezrobotnych przypada na Osiedle nr 2 (ok. 114 osób) i Osiedle nr 1 (ok. 43 osób). Jednostki o umiarkowanym natężeniu (ok. 5,7/100) to m.in. Osiedle nr 4 oraz sołectwa takie jak Kajew i Nowe, natomiast większość sołectw wiejskich otrzymała znacznie niższe wartości (ok. 1,9/100 dla jednostek o najniższej ocenie dochodowej), co obrazuje wyraźne zróżnicowanie terytorialne problemu. Wyniki te potwierdzają konkluzję diagnostyczną o silnej koncentracji wyzwań społeczno</w:t>
      </w:r>
      <w:r w:rsidRPr="00F52AD8">
        <w:rPr>
          <w:sz w:val="24"/>
          <w:szCs w:val="24"/>
        </w:rPr>
        <w:t>-ekonomicznych w centralnych osiedlach miejskich oraz w kilku punktowych ogniskach wiejskich i wskazują konieczność priorytetowego ukierunkowania działań aktywizacyjnych, mieszkaniowych i usług opiekuńczych na wymienione jednostki; jednocześnie należy podkreślić, że przedstawione wartości są estymacją modelową (opartą na populacji i jakościowej ocenie dochodowej) i wymagają weryfikacji przez rozbicie rejestru PUP według adresów lub korektę wag o strukturę wieku i aktywność zawodową przed ostatecznym wykorzystaniem w programowaniu działań.</w:t>
      </w:r>
    </w:p>
    <w:p w14:paraId="2F5036E5" w14:textId="6ECE3C55" w:rsidR="00917F32" w:rsidRPr="00CB7C2D" w:rsidRDefault="00917F32" w:rsidP="00917F32">
      <w:pPr>
        <w:spacing w:before="120" w:after="0" w:line="264" w:lineRule="auto"/>
        <w:rPr>
          <w:b/>
          <w:bCs/>
          <w:sz w:val="24"/>
          <w:szCs w:val="24"/>
        </w:rPr>
      </w:pPr>
      <w:r w:rsidRPr="00917F32">
        <w:rPr>
          <w:sz w:val="24"/>
          <w:szCs w:val="24"/>
        </w:rPr>
        <w:t xml:space="preserve">Następnym obszarem analizy były dane pozyskane z Komendy Policji w Krośniewicach na potrzeby wyliczenia wskaźnika </w:t>
      </w:r>
      <w:r w:rsidRPr="00917F32">
        <w:rPr>
          <w:b/>
          <w:bCs/>
          <w:sz w:val="24"/>
          <w:szCs w:val="24"/>
        </w:rPr>
        <w:t xml:space="preserve">Liczba przestępstw i wykroczeń stwierdzonych nie obejmujących zdarzeń </w:t>
      </w:r>
      <w:r w:rsidRPr="00917F32">
        <w:rPr>
          <w:b/>
          <w:bCs/>
          <w:sz w:val="24"/>
          <w:szCs w:val="24"/>
        </w:rPr>
        <w:lastRenderedPageBreak/>
        <w:t xml:space="preserve">drogowych i przestępstw gospodarczych, w tym czyny karalne nieletnich tj. do 17-tego roku życia na 100 osób. Wartość </w:t>
      </w:r>
      <w:r w:rsidRPr="00917F32">
        <w:rPr>
          <w:sz w:val="24"/>
          <w:szCs w:val="24"/>
        </w:rPr>
        <w:t xml:space="preserve">wskaźnika średnia dla gminy wynosi </w:t>
      </w:r>
      <w:r w:rsidRPr="00917F32">
        <w:rPr>
          <w:b/>
          <w:bCs/>
          <w:sz w:val="24"/>
          <w:szCs w:val="24"/>
        </w:rPr>
        <w:t>3,26 przestępstw/wykroczeń na 100 osób</w:t>
      </w:r>
      <w:r w:rsidRPr="00917F32">
        <w:rPr>
          <w:sz w:val="24"/>
          <w:szCs w:val="24"/>
        </w:rPr>
        <w:t xml:space="preserve">; rozkład wartości pokazuje wyraźne skupienia problemów o charakterze kryminalnym. Najwyższe wskaźniki odnotowano w kilku punktach: zdecydowanie dominuje </w:t>
      </w:r>
      <w:r w:rsidRPr="00917F32">
        <w:rPr>
          <w:b/>
          <w:bCs/>
          <w:sz w:val="24"/>
          <w:szCs w:val="24"/>
        </w:rPr>
        <w:t>Sołectwo Pawlikowice (24,37/100)</w:t>
      </w:r>
      <w:r w:rsidRPr="00917F32">
        <w:rPr>
          <w:sz w:val="24"/>
          <w:szCs w:val="24"/>
        </w:rPr>
        <w:t xml:space="preserve">, następnie wysokie wartości występują na </w:t>
      </w:r>
      <w:r w:rsidRPr="00917F32">
        <w:rPr>
          <w:b/>
          <w:bCs/>
          <w:sz w:val="24"/>
          <w:szCs w:val="24"/>
        </w:rPr>
        <w:t>Osiedlu nr 3 (10,97/100)</w:t>
      </w:r>
      <w:r w:rsidRPr="00917F32">
        <w:rPr>
          <w:sz w:val="24"/>
          <w:szCs w:val="24"/>
        </w:rPr>
        <w:t xml:space="preserve">, </w:t>
      </w:r>
      <w:r w:rsidRPr="00917F32">
        <w:rPr>
          <w:b/>
          <w:bCs/>
          <w:sz w:val="24"/>
          <w:szCs w:val="24"/>
        </w:rPr>
        <w:t>Sołectwie Ostałów (10,71/100)</w:t>
      </w:r>
      <w:r w:rsidRPr="00917F32">
        <w:rPr>
          <w:sz w:val="24"/>
          <w:szCs w:val="24"/>
        </w:rPr>
        <w:t xml:space="preserve">, </w:t>
      </w:r>
      <w:r w:rsidRPr="00917F32">
        <w:rPr>
          <w:b/>
          <w:bCs/>
          <w:sz w:val="24"/>
          <w:szCs w:val="24"/>
        </w:rPr>
        <w:t>Osiedlu nr 1 (8,42/100)</w:t>
      </w:r>
      <w:r w:rsidRPr="00917F32">
        <w:rPr>
          <w:sz w:val="24"/>
          <w:szCs w:val="24"/>
        </w:rPr>
        <w:t xml:space="preserve"> oraz </w:t>
      </w:r>
      <w:r w:rsidRPr="00917F32">
        <w:rPr>
          <w:b/>
          <w:bCs/>
          <w:sz w:val="24"/>
          <w:szCs w:val="24"/>
        </w:rPr>
        <w:t>Osiedlu nr 4 (7,58/100)</w:t>
      </w:r>
      <w:r w:rsidRPr="00917F32">
        <w:rPr>
          <w:sz w:val="24"/>
          <w:szCs w:val="24"/>
        </w:rPr>
        <w:t xml:space="preserve">. Na poziomie umiarkowanym plasują się m.in. </w:t>
      </w:r>
      <w:r w:rsidRPr="00917F32">
        <w:rPr>
          <w:b/>
          <w:bCs/>
          <w:sz w:val="24"/>
          <w:szCs w:val="24"/>
        </w:rPr>
        <w:t>Sołectwa Franki i Jankowice (po 6,67/100)</w:t>
      </w:r>
      <w:r w:rsidRPr="00917F32">
        <w:rPr>
          <w:sz w:val="24"/>
          <w:szCs w:val="24"/>
        </w:rPr>
        <w:t xml:space="preserve"> oraz </w:t>
      </w:r>
      <w:r w:rsidRPr="00917F32">
        <w:rPr>
          <w:b/>
          <w:bCs/>
          <w:sz w:val="24"/>
          <w:szCs w:val="24"/>
        </w:rPr>
        <w:t>Luboradz (5,74/100)</w:t>
      </w:r>
      <w:r w:rsidRPr="00917F32">
        <w:rPr>
          <w:sz w:val="24"/>
          <w:szCs w:val="24"/>
        </w:rPr>
        <w:t xml:space="preserve">; większość sołectw wiejskich ma natomiast wartość równą </w:t>
      </w:r>
      <w:r w:rsidRPr="00917F32">
        <w:rPr>
          <w:b/>
          <w:bCs/>
          <w:sz w:val="24"/>
          <w:szCs w:val="24"/>
        </w:rPr>
        <w:t>0,00/100</w:t>
      </w:r>
      <w:r w:rsidRPr="00917F32">
        <w:rPr>
          <w:sz w:val="24"/>
          <w:szCs w:val="24"/>
        </w:rPr>
        <w:t xml:space="preserve">, co wskazuje na brak zarejestrowanych zdarzeń w tej kategorii w roku referencyjnym (lista ta obejmuje duży odsetek miejscowości: Bielice, Kajew, Kopy, Nowe, Pomarzany, Suchodoły, Szubina, </w:t>
      </w:r>
      <w:r w:rsidRPr="00CB7C2D">
        <w:rPr>
          <w:sz w:val="24"/>
          <w:szCs w:val="24"/>
        </w:rPr>
        <w:t xml:space="preserve">Szubsk Duży, Szubsk-Towarzystwo, Teresin, Witów, Wola Nowska, Wychny, Wymysłów, Zalesie i inne) </w:t>
      </w:r>
    </w:p>
    <w:p w14:paraId="1E096CD5" w14:textId="55F0C7CA" w:rsidR="00917F32" w:rsidRPr="00CB7C2D" w:rsidRDefault="00917F32" w:rsidP="00917F32">
      <w:pPr>
        <w:spacing w:before="120" w:after="0" w:line="264" w:lineRule="auto"/>
        <w:rPr>
          <w:sz w:val="24"/>
          <w:szCs w:val="24"/>
        </w:rPr>
      </w:pPr>
      <w:r w:rsidRPr="00CB7C2D">
        <w:rPr>
          <w:sz w:val="24"/>
          <w:szCs w:val="24"/>
        </w:rPr>
        <w:t xml:space="preserve">Z analizy przestrzennej wynika, że problem ma charakter mieszany: z jednej strony </w:t>
      </w:r>
      <w:r w:rsidRPr="00CB7C2D">
        <w:rPr>
          <w:b/>
          <w:bCs/>
          <w:sz w:val="24"/>
          <w:szCs w:val="24"/>
        </w:rPr>
        <w:t>koncentracja w ośrodku miejskim</w:t>
      </w:r>
      <w:r w:rsidRPr="00CB7C2D">
        <w:rPr>
          <w:sz w:val="24"/>
          <w:szCs w:val="24"/>
        </w:rPr>
        <w:t xml:space="preserve"> (Osiedla 1–4), co koreluje z innymi sygnałami socjoekonomicznymi (wysoki IMD Społeczny, wyższe bezrobocie i rotacja firm); z drugiej strony pojawiają się </w:t>
      </w:r>
      <w:r w:rsidRPr="00CB7C2D">
        <w:rPr>
          <w:b/>
          <w:bCs/>
          <w:sz w:val="24"/>
          <w:szCs w:val="24"/>
        </w:rPr>
        <w:t>punktowe „wyspy” o bardzo wysokich wskaźnikach</w:t>
      </w:r>
      <w:r w:rsidRPr="00CB7C2D">
        <w:rPr>
          <w:sz w:val="24"/>
          <w:szCs w:val="24"/>
        </w:rPr>
        <w:t xml:space="preserve"> (szczególnie Pawlikowice i Ostałów), które wymagają pilnej weryfikacji. Trzeba jednak podkreślić istotne ograniczenie interpretacyjne: wskaźnik liczony „na 100 osób” jest bardzo wrażliwy na małą liczbę mieszkańców — w małych sołectwach pojedyncze zdarzenia dają bardzo wysokie stopy. Dla przykładu, relatywnie wysoka wartość dla Pawlikowic (około 24,4/100 przy populacji ~119 osób) odpowiada niewielkiej liczbie incydentów w wartościach absolutnych, ale ich koncentracja lokalna czyni problem istotnym z punktu widzenia społecznego i bezpieczeństwa. Z tego powodu interpretacja powinna łączyć wskaźnik z liczbami bezwzględnymi i kontekstem demograficznym, a nie opierać się wyłącznie na porównaniu wskaźników procentowych.</w:t>
      </w:r>
    </w:p>
    <w:p w14:paraId="6AA0DD53" w14:textId="77777777" w:rsidR="00917F32" w:rsidRPr="00CB7C2D" w:rsidRDefault="00917F32" w:rsidP="00917F32">
      <w:pPr>
        <w:spacing w:before="120" w:after="0" w:line="264" w:lineRule="auto"/>
        <w:rPr>
          <w:sz w:val="24"/>
          <w:szCs w:val="24"/>
        </w:rPr>
      </w:pPr>
      <w:r w:rsidRPr="00CB7C2D">
        <w:rPr>
          <w:sz w:val="24"/>
          <w:szCs w:val="24"/>
        </w:rPr>
        <w:t>Wnioski interpretacyjne odnoszą się do możliwych przyczyn i konsekwencji: podwyższone wskaźniki w osiedlach miejskich sugerują kumulację czynników ryzyka — ubóstwo, bezrobocie, wysoka koncentracja ludności, problemy z młodzieżą i ograniczona dostępność usług profilaktycznych — podczas gdy punktowe wzrosty w niektórych sołectwach mogą świadczyć o problemach lokalnych (np. konfliktach społecznych, braku nadzoru nad grupami młodzieżowymi, incydentach rodzinnych). W przypadku nieletnich wysoki udział czynów karalnych wskazuje na potrzebę interwencji wychowawczo-profilaktycznej (szkoła, świetlice, zajęcia pozalekcyjne, programy resocjalizacyjne).</w:t>
      </w:r>
    </w:p>
    <w:p w14:paraId="489009E2" w14:textId="18B96212" w:rsidR="00917F32" w:rsidRPr="00CB7C2D" w:rsidRDefault="00917F32" w:rsidP="00F52AD8">
      <w:pPr>
        <w:spacing w:before="120" w:after="0" w:line="264" w:lineRule="auto"/>
        <w:rPr>
          <w:sz w:val="24"/>
          <w:szCs w:val="24"/>
        </w:rPr>
      </w:pPr>
      <w:r w:rsidRPr="00CB7C2D">
        <w:rPr>
          <w:sz w:val="24"/>
          <w:szCs w:val="24"/>
        </w:rPr>
        <w:t xml:space="preserve">Rekomendacje praktyczne obejmują natychmiastową weryfikację surowych danych (liczby incydentów i ich typy na poziomie jednostek), </w:t>
      </w:r>
      <w:proofErr w:type="spellStart"/>
      <w:r w:rsidRPr="00CB7C2D">
        <w:rPr>
          <w:sz w:val="24"/>
          <w:szCs w:val="24"/>
        </w:rPr>
        <w:t>priorytetyzację</w:t>
      </w:r>
      <w:proofErr w:type="spellEnd"/>
      <w:r w:rsidRPr="00CB7C2D">
        <w:rPr>
          <w:sz w:val="24"/>
          <w:szCs w:val="24"/>
        </w:rPr>
        <w:t xml:space="preserve"> działań prewencyjnych w tzw. „gorących punktach” (Osiedle nr 3, Osiedle nr 1, Ostałów, Pawlikowice, Osiedle nr 4) oraz uruchomienie zintegrowanych programów: wzmocnienie patroli policyjnych i działań prewencyjnych, programy dla młodzieży (świetlice, mentoring), wsparcie rodzin przez MOPS i szkoły, poprawa oświetlenia i monitoring punktów publicznych oraz działania środowiskowe prowadzone przez pracę socjalną. Równocześnie zaleca się monitorowanie wskaźnika w powiązaniu z liczbami bezwzględnymi i innymi wskaźnikami (IMD Społeczne, bezrobocie, liczba rodzin korzystających ze świadczeń, odsetek ludności poprodukcyjnej), aby lepiej zrozumieć mechanizmy i ocenić skuteczność interwencji.</w:t>
      </w:r>
      <w:r w:rsidR="00563FE5">
        <w:rPr>
          <w:sz w:val="24"/>
          <w:szCs w:val="24"/>
        </w:rPr>
        <w:t xml:space="preserve"> </w:t>
      </w:r>
      <w:r w:rsidRPr="00CB7C2D">
        <w:rPr>
          <w:sz w:val="24"/>
          <w:szCs w:val="24"/>
        </w:rPr>
        <w:t xml:space="preserve">Podsumowując, tabela pokazuje, że mimo dużej liczby sołectw z wskaźnikiem równym zero, istnieje wyraźna grupa jednostek — zwłaszcza miejskich oraz kilka wiejskich punktów — o znacznym natężeniu przestępczości i wykroczeń (bez </w:t>
      </w:r>
      <w:r w:rsidRPr="00CB7C2D">
        <w:rPr>
          <w:sz w:val="24"/>
          <w:szCs w:val="24"/>
        </w:rPr>
        <w:lastRenderedPageBreak/>
        <w:t>zdarzeń drogowych i przestępstw gospodarczych) oraz czynów nieletnich, co wymaga zróżnicowanej, lokalnie dopasowanej reakcji diagnostyczno-interwencyjne</w:t>
      </w:r>
    </w:p>
    <w:p w14:paraId="37D6C30C" w14:textId="2778A4A2" w:rsidR="00322E88" w:rsidRPr="00F52AD8" w:rsidRDefault="00322E88" w:rsidP="00F52AD8">
      <w:pPr>
        <w:spacing w:before="120" w:after="0" w:line="264" w:lineRule="auto"/>
        <w:rPr>
          <w:sz w:val="24"/>
          <w:szCs w:val="24"/>
        </w:rPr>
      </w:pPr>
      <w:r w:rsidRPr="00CB7C2D">
        <w:rPr>
          <w:sz w:val="24"/>
          <w:szCs w:val="24"/>
        </w:rPr>
        <w:t xml:space="preserve">Kolejnym obszarem analiz było wyliczenie </w:t>
      </w:r>
      <w:r w:rsidRPr="00CB7C2D">
        <w:rPr>
          <w:b/>
          <w:bCs/>
          <w:sz w:val="24"/>
          <w:szCs w:val="24"/>
        </w:rPr>
        <w:t>wskaźnika „Odsetek ludności w wieku poprodukcyjnym</w:t>
      </w:r>
      <w:r w:rsidR="00032B7B">
        <w:rPr>
          <w:b/>
          <w:bCs/>
          <w:sz w:val="24"/>
          <w:szCs w:val="24"/>
        </w:rPr>
        <w:t>”</w:t>
      </w:r>
      <w:r w:rsidRPr="00CB7C2D">
        <w:rPr>
          <w:b/>
          <w:bCs/>
          <w:sz w:val="24"/>
          <w:szCs w:val="24"/>
        </w:rPr>
        <w:t xml:space="preserve">. </w:t>
      </w:r>
      <w:r w:rsidRPr="00CB7C2D">
        <w:rPr>
          <w:sz w:val="24"/>
          <w:szCs w:val="24"/>
        </w:rPr>
        <w:t xml:space="preserve">Otrzymane wartości pozyskano metoda estymacji modelowej — użyteczną do planowania, wymagającą weryfikacji przy dostępie do rejestrów PESEL / GUS na poziomie sołectw i osieli. Oszacowanie wykazuje </w:t>
      </w:r>
      <w:r w:rsidRPr="00CB7C2D">
        <w:rPr>
          <w:b/>
          <w:bCs/>
          <w:sz w:val="24"/>
          <w:szCs w:val="24"/>
        </w:rPr>
        <w:t>zróżnicowanie przestrzenne: najwyższe udziały ludności poprodukcyjnej (ok. 31%) występują w centralnych osiedlach o wysokim natężeniu problemów opiekuńczych (Osiedla nr 1–3),</w:t>
      </w:r>
      <w:r w:rsidRPr="00CB7C2D">
        <w:rPr>
          <w:sz w:val="24"/>
          <w:szCs w:val="24"/>
        </w:rPr>
        <w:t xml:space="preserve"> podczas gdy większość sołectw ma wartości w przedziale ~18–23%. Średni odsetek gminny wynosi ok. 24,4%, co</w:t>
      </w:r>
      <w:r w:rsidRPr="00322E88">
        <w:rPr>
          <w:sz w:val="24"/>
          <w:szCs w:val="24"/>
        </w:rPr>
        <w:t xml:space="preserve"> klasyfikuje gminę do kategorii „wysokiego” udziału ludności poprodukcyjnej według przyjętych progów.</w:t>
      </w:r>
    </w:p>
    <w:p w14:paraId="255FE4B1" w14:textId="7A980BF9" w:rsidR="000926D8" w:rsidRPr="000926D8" w:rsidRDefault="000926D8" w:rsidP="006E6FF5">
      <w:pPr>
        <w:spacing w:before="120" w:after="0" w:line="264" w:lineRule="auto"/>
        <w:rPr>
          <w:sz w:val="24"/>
          <w:szCs w:val="24"/>
        </w:rPr>
      </w:pPr>
      <w:r w:rsidRPr="000926D8">
        <w:rPr>
          <w:sz w:val="24"/>
          <w:szCs w:val="24"/>
        </w:rPr>
        <w:t>Dla badania zjawiska ubóstwa i powiązanych dysfunkcji społecznych przyjęto zestaw wskaźników jakościowych opartych na danych MGOPS w Krośniewicach oraz analizie środowiskowej pracowników socjalnych. Ocena obejmuje trzy obszary tematyczne</w:t>
      </w:r>
      <w:r w:rsidR="006E6FF5">
        <w:rPr>
          <w:sz w:val="24"/>
          <w:szCs w:val="24"/>
        </w:rPr>
        <w:t xml:space="preserve">: </w:t>
      </w:r>
      <w:r w:rsidRPr="000926D8">
        <w:rPr>
          <w:sz w:val="24"/>
          <w:szCs w:val="24"/>
        </w:rPr>
        <w:t>Obszar 1 — sytuacja dochodowa i warunki życia (ubóstwo, trudna sytuacja bytowa, bezrobocie, niestabilność zatrudnienia i inne problemy ekonomiczno-bytowe)</w:t>
      </w:r>
      <w:r w:rsidR="006E6FF5">
        <w:rPr>
          <w:sz w:val="24"/>
          <w:szCs w:val="24"/>
        </w:rPr>
        <w:t xml:space="preserve">, </w:t>
      </w:r>
      <w:r w:rsidRPr="000926D8">
        <w:rPr>
          <w:sz w:val="24"/>
          <w:szCs w:val="24"/>
        </w:rPr>
        <w:t>Obszar 2 — funkcjonowanie rodzin i opieka nad osobami zależnymi (bezradność opiekuńczo-wychowawcza, trudności w prowadzeniu gospodarstwa domowego, niepełnosprawność, problemy opiekuńcze nad osobami starszymi)</w:t>
      </w:r>
      <w:r w:rsidR="006E6FF5">
        <w:rPr>
          <w:sz w:val="24"/>
          <w:szCs w:val="24"/>
        </w:rPr>
        <w:t xml:space="preserve"> oraz  </w:t>
      </w:r>
      <w:r w:rsidRPr="000926D8">
        <w:rPr>
          <w:sz w:val="24"/>
          <w:szCs w:val="24"/>
        </w:rPr>
        <w:t>Obszar 3 — dysfunkcje społeczne, uzależnienia i przemoc (uzależnienia i kryzysy, przemoc domowa, bezdomność, inne zachowania patologiczne).</w:t>
      </w:r>
    </w:p>
    <w:p w14:paraId="30AA533B" w14:textId="56D8485D" w:rsidR="000926D8" w:rsidRPr="000926D8" w:rsidRDefault="000926D8" w:rsidP="000926D8">
      <w:pPr>
        <w:spacing w:before="120" w:after="0" w:line="264" w:lineRule="auto"/>
        <w:rPr>
          <w:sz w:val="24"/>
          <w:szCs w:val="24"/>
        </w:rPr>
      </w:pPr>
      <w:r w:rsidRPr="000926D8">
        <w:rPr>
          <w:sz w:val="24"/>
          <w:szCs w:val="24"/>
        </w:rPr>
        <w:t>Oceny są jakościowe i numeryczne (skala 1–4, gdzie 1 = niski poziom problemu / sytuacja korzystna, 4 = wysoki poziom problemu / sytuacja krytyczna). Źródłem ocen były rejestry i obserwacje MGOPS, wywiady środowiskowe oraz analiza lokalnych wskaźników (świadczenia, bezrobocie, liczba rodzin korzystających z pomocy itp.)</w:t>
      </w:r>
      <w:r>
        <w:rPr>
          <w:sz w:val="24"/>
          <w:szCs w:val="24"/>
        </w:rPr>
        <w:t xml:space="preserve">. </w:t>
      </w:r>
      <w:r w:rsidRPr="000926D8">
        <w:rPr>
          <w:sz w:val="24"/>
          <w:szCs w:val="24"/>
        </w:rPr>
        <w:t>W analizie syntetycznej posłużono się wartością średnią trzech ocen (obszarów) w jednostce i progiem interpretacyjnym:</w:t>
      </w:r>
      <w:r w:rsidR="006E6FF5">
        <w:rPr>
          <w:sz w:val="24"/>
          <w:szCs w:val="24"/>
        </w:rPr>
        <w:t xml:space="preserve"> </w:t>
      </w:r>
      <w:r w:rsidRPr="000926D8">
        <w:rPr>
          <w:sz w:val="24"/>
          <w:szCs w:val="24"/>
        </w:rPr>
        <w:t>≥3,0 — wysoki / krytyczny poziom natężenia problemów,</w:t>
      </w:r>
      <w:r w:rsidR="006E6FF5">
        <w:rPr>
          <w:sz w:val="24"/>
          <w:szCs w:val="24"/>
        </w:rPr>
        <w:t xml:space="preserve"> </w:t>
      </w:r>
      <w:r w:rsidRPr="000926D8">
        <w:rPr>
          <w:sz w:val="24"/>
          <w:szCs w:val="24"/>
        </w:rPr>
        <w:t>2,0–2,99 — umiarkowany poziom</w:t>
      </w:r>
      <w:r w:rsidR="006E6FF5">
        <w:rPr>
          <w:sz w:val="24"/>
          <w:szCs w:val="24"/>
        </w:rPr>
        <w:t xml:space="preserve"> oraz </w:t>
      </w:r>
      <w:r w:rsidRPr="000926D8">
        <w:rPr>
          <w:sz w:val="24"/>
          <w:szCs w:val="24"/>
        </w:rPr>
        <w:t>&lt;2,0 — niski poziom.</w:t>
      </w:r>
      <w:r w:rsidR="00CB7C2D">
        <w:rPr>
          <w:sz w:val="24"/>
          <w:szCs w:val="24"/>
        </w:rPr>
        <w:t xml:space="preserve"> </w:t>
      </w:r>
      <w:r w:rsidRPr="000926D8">
        <w:rPr>
          <w:sz w:val="24"/>
          <w:szCs w:val="24"/>
        </w:rPr>
        <w:t>Grupa o najwyższym natężeniu problemów (krytyczna):</w:t>
      </w:r>
      <w:r w:rsidRPr="00322E88">
        <w:rPr>
          <w:sz w:val="24"/>
          <w:szCs w:val="24"/>
        </w:rPr>
        <w:t xml:space="preserve"> </w:t>
      </w:r>
      <w:r w:rsidRPr="000926D8">
        <w:rPr>
          <w:sz w:val="24"/>
          <w:szCs w:val="24"/>
        </w:rPr>
        <w:t>Osiedle nr 1, Osiedle nr 2, Osiedle nr 3 — wszystkie z oceną dla Obszaru 1 = 4, Obszaru 2 = 4, Obszaru 3 = 3; średnia ocen ≈ 3,67.</w:t>
      </w:r>
      <w:r w:rsidRPr="000926D8">
        <w:rPr>
          <w:sz w:val="24"/>
          <w:szCs w:val="24"/>
        </w:rPr>
        <w:br/>
        <w:t>Interpretacja: silna koncentracja problemów dochodowych (bezrobocie, ubóstwo) oraz poważne trudności w funkcjonowaniu rodzin i opiece nad zależnymi; występuje też istotny poziom dysfunkcji społecznych. Wynik wskazuje na miejskie skupisko ubóstwa i wielowymiarowych dysfunkcji wymagające pilnej interwencji.</w:t>
      </w:r>
      <w:r w:rsidR="00CB7C2D">
        <w:rPr>
          <w:sz w:val="24"/>
          <w:szCs w:val="24"/>
        </w:rPr>
        <w:t xml:space="preserve"> </w:t>
      </w:r>
      <w:r w:rsidRPr="000926D8">
        <w:rPr>
          <w:sz w:val="24"/>
          <w:szCs w:val="24"/>
        </w:rPr>
        <w:t>Grupa o wysokim / wyraźnym natężeniu:</w:t>
      </w:r>
      <w:r w:rsidRPr="00322E88">
        <w:rPr>
          <w:sz w:val="24"/>
          <w:szCs w:val="24"/>
        </w:rPr>
        <w:t xml:space="preserve"> </w:t>
      </w:r>
      <w:r w:rsidRPr="000926D8">
        <w:rPr>
          <w:sz w:val="24"/>
          <w:szCs w:val="24"/>
        </w:rPr>
        <w:t>Sołectwo Kajew — oceny (3,3,2), średnia ≈ 2,67;</w:t>
      </w:r>
      <w:r w:rsidRPr="00322E88">
        <w:rPr>
          <w:sz w:val="24"/>
          <w:szCs w:val="24"/>
        </w:rPr>
        <w:t xml:space="preserve"> </w:t>
      </w:r>
      <w:r w:rsidRPr="000926D8">
        <w:rPr>
          <w:sz w:val="24"/>
          <w:szCs w:val="24"/>
        </w:rPr>
        <w:t>Sołectwo Nowe i Sołectwo Witów — średnie ≈ 2,0.</w:t>
      </w:r>
      <w:r w:rsidRPr="00322E88">
        <w:rPr>
          <w:sz w:val="24"/>
          <w:szCs w:val="24"/>
        </w:rPr>
        <w:t xml:space="preserve"> </w:t>
      </w:r>
      <w:r w:rsidRPr="000926D8">
        <w:rPr>
          <w:sz w:val="24"/>
          <w:szCs w:val="24"/>
        </w:rPr>
        <w:t>Interpretacja: istotne problemy dochodowe i rodzinne (Kajew szczególnie), a w Nowem i Witowie widoczne wyzwania opiekuńcze lub strukturalne (np. starzenie, dostępność usług).</w:t>
      </w:r>
      <w:r w:rsidR="00CB7C2D">
        <w:rPr>
          <w:sz w:val="24"/>
          <w:szCs w:val="24"/>
        </w:rPr>
        <w:t xml:space="preserve"> </w:t>
      </w:r>
      <w:r w:rsidRPr="000926D8">
        <w:rPr>
          <w:sz w:val="24"/>
          <w:szCs w:val="24"/>
        </w:rPr>
        <w:t>Większość sołectw — niski/umiarkowany poziom problemów:</w:t>
      </w:r>
      <w:r w:rsidRPr="00322E88">
        <w:rPr>
          <w:sz w:val="24"/>
          <w:szCs w:val="24"/>
        </w:rPr>
        <w:t xml:space="preserve"> </w:t>
      </w:r>
      <w:r w:rsidRPr="000926D8">
        <w:rPr>
          <w:sz w:val="24"/>
          <w:szCs w:val="24"/>
        </w:rPr>
        <w:t>Wiele wsi (Bielice, Franki, Szubina, Szubsk Towarzystwo, Suchodoły, Ostałów i inne) otrzymało oceny 1 w większości obszarów (średnie ≈ 1,0–1,3).</w:t>
      </w:r>
      <w:r w:rsidRPr="00322E88">
        <w:rPr>
          <w:sz w:val="24"/>
          <w:szCs w:val="24"/>
        </w:rPr>
        <w:t xml:space="preserve"> </w:t>
      </w:r>
      <w:r w:rsidRPr="000926D8">
        <w:rPr>
          <w:sz w:val="24"/>
          <w:szCs w:val="24"/>
        </w:rPr>
        <w:t>Interpretacja: relatywnie korzystna sytuacja dochodowa i funkcjonowanie rodzin w ujęciu jakościowym; jednak brak oznacza nie brak problemów absolutnych, lecz ich relatywnie niższe natężenie.</w:t>
      </w:r>
    </w:p>
    <w:p w14:paraId="6897E0AC" w14:textId="3AF86C3A" w:rsidR="00F83247" w:rsidRPr="008C062A" w:rsidRDefault="00563FE5" w:rsidP="002D6249">
      <w:pPr>
        <w:spacing w:before="120" w:after="0" w:line="264" w:lineRule="auto"/>
        <w:rPr>
          <w:sz w:val="24"/>
          <w:szCs w:val="24"/>
        </w:rPr>
      </w:pPr>
      <w:r>
        <w:rPr>
          <w:sz w:val="24"/>
          <w:szCs w:val="24"/>
        </w:rPr>
        <w:t>Finalnie</w:t>
      </w:r>
      <w:r w:rsidR="000926D8">
        <w:rPr>
          <w:sz w:val="24"/>
          <w:szCs w:val="24"/>
        </w:rPr>
        <w:t xml:space="preserve">, </w:t>
      </w:r>
      <w:r w:rsidR="00322E88">
        <w:rPr>
          <w:sz w:val="24"/>
          <w:szCs w:val="24"/>
        </w:rPr>
        <w:t>p</w:t>
      </w:r>
      <w:r w:rsidR="000926D8" w:rsidRPr="000926D8">
        <w:rPr>
          <w:sz w:val="24"/>
          <w:szCs w:val="24"/>
        </w:rPr>
        <w:t xml:space="preserve">roblemy </w:t>
      </w:r>
      <w:r w:rsidR="000926D8" w:rsidRPr="00CB7C2D">
        <w:rPr>
          <w:b/>
          <w:bCs/>
          <w:sz w:val="24"/>
          <w:szCs w:val="24"/>
        </w:rPr>
        <w:t xml:space="preserve">skoncentrowane </w:t>
      </w:r>
      <w:r w:rsidR="00322E88" w:rsidRPr="00CB7C2D">
        <w:rPr>
          <w:b/>
          <w:bCs/>
          <w:sz w:val="24"/>
          <w:szCs w:val="24"/>
        </w:rPr>
        <w:t xml:space="preserve">w ramach analizy danych MGOPS </w:t>
      </w:r>
      <w:r w:rsidR="000926D8" w:rsidRPr="00CB7C2D">
        <w:rPr>
          <w:b/>
          <w:bCs/>
          <w:sz w:val="24"/>
          <w:szCs w:val="24"/>
        </w:rPr>
        <w:t xml:space="preserve">są w miejskich osiedlach (nr 1–3) </w:t>
      </w:r>
      <w:r w:rsidR="000926D8" w:rsidRPr="000926D8">
        <w:rPr>
          <w:sz w:val="24"/>
          <w:szCs w:val="24"/>
        </w:rPr>
        <w:t>— bardzo wysoki poziom ubóstwa powiązany z rozregulowaną sytuacją rodzinną i istotną obecnością dysfunkcji społecznych. To główny obszar ryzyka wymagający równoległych działań ekonomicznych (aktywacja, miejsca pracy) i społecznych (praca socjalna, wsparcie rodzinne, usługi opiekuńcze).</w:t>
      </w:r>
      <w:r w:rsidR="000926D8">
        <w:rPr>
          <w:sz w:val="24"/>
          <w:szCs w:val="24"/>
        </w:rPr>
        <w:t xml:space="preserve"> </w:t>
      </w:r>
      <w:r w:rsidR="000926D8" w:rsidRPr="00CB7C2D">
        <w:rPr>
          <w:b/>
          <w:bCs/>
          <w:sz w:val="24"/>
          <w:szCs w:val="24"/>
        </w:rPr>
        <w:t xml:space="preserve">Pojedyncze ogniska wiejskie: Kajew, Nowe, Witów wykazują umiarkowanie </w:t>
      </w:r>
      <w:r w:rsidR="000926D8" w:rsidRPr="00CB7C2D">
        <w:rPr>
          <w:b/>
          <w:bCs/>
          <w:sz w:val="24"/>
          <w:szCs w:val="24"/>
        </w:rPr>
        <w:lastRenderedPageBreak/>
        <w:t>wysokie natężenie</w:t>
      </w:r>
      <w:r w:rsidR="000926D8" w:rsidRPr="000926D8">
        <w:rPr>
          <w:sz w:val="24"/>
          <w:szCs w:val="24"/>
        </w:rPr>
        <w:t>, z przewagą problemów rodzinnych/opiekuńczych (Kajew także znacząca sytuacja dochodowa).</w:t>
      </w:r>
      <w:r w:rsidR="000926D8">
        <w:rPr>
          <w:sz w:val="24"/>
          <w:szCs w:val="24"/>
        </w:rPr>
        <w:t xml:space="preserve"> </w:t>
      </w:r>
      <w:r w:rsidR="000926D8" w:rsidRPr="000926D8">
        <w:rPr>
          <w:sz w:val="24"/>
          <w:szCs w:val="24"/>
        </w:rPr>
        <w:t>Strukturalna luka w pracy socjalnej i usługach opiekuńczych: jakość wsparcia (liczba kontraktów, wsparcie dzienne, żłobki, miejsca w DPS) jest niewystarczająca wobec zidentyfikowanych potrzeb (zgodnie z oceną MGOPS).</w:t>
      </w:r>
      <w:r w:rsidR="000926D8">
        <w:rPr>
          <w:sz w:val="24"/>
          <w:szCs w:val="24"/>
        </w:rPr>
        <w:t xml:space="preserve"> </w:t>
      </w:r>
      <w:r w:rsidR="000926D8" w:rsidRPr="000926D8">
        <w:rPr>
          <w:sz w:val="24"/>
          <w:szCs w:val="24"/>
        </w:rPr>
        <w:t>Priorytet terytorialny</w:t>
      </w:r>
      <w:r w:rsidR="000926D8">
        <w:rPr>
          <w:sz w:val="24"/>
          <w:szCs w:val="24"/>
        </w:rPr>
        <w:t xml:space="preserve"> powinien wskazywać na potrzebę koncentracji</w:t>
      </w:r>
      <w:r w:rsidR="000926D8" w:rsidRPr="000926D8">
        <w:rPr>
          <w:sz w:val="24"/>
          <w:szCs w:val="24"/>
        </w:rPr>
        <w:t xml:space="preserve"> działania rewitalizacyjne i społeczne na Osiedlach nr 1–3 oraz na miejscowościach Kajew, Nowe, Witów.</w:t>
      </w:r>
      <w:r w:rsidR="000926D8">
        <w:rPr>
          <w:sz w:val="24"/>
          <w:szCs w:val="24"/>
        </w:rPr>
        <w:t xml:space="preserve"> </w:t>
      </w:r>
      <w:r w:rsidR="000926D8" w:rsidRPr="000926D8">
        <w:rPr>
          <w:sz w:val="24"/>
          <w:szCs w:val="24"/>
        </w:rPr>
        <w:t>Zróżnicowany pakiet działań: w obszarach o wysokich ocenach łączyć aktywizację dochodową (programy zatrudnienia, wsparcie MŚP) z intensywną pracą socjalną i usługami opiekuńczymi (opieka dzienna, wsparcie opiekunów, zwiększenie dostępności świadczeń pielęgnacyjnych).</w:t>
      </w:r>
    </w:p>
    <w:p w14:paraId="473B62A6" w14:textId="580459B8" w:rsidR="00BF4FFC" w:rsidRPr="007332E8" w:rsidRDefault="000913E2" w:rsidP="007332E8">
      <w:pPr>
        <w:spacing w:before="120" w:after="0" w:line="264" w:lineRule="auto"/>
        <w:rPr>
          <w:sz w:val="24"/>
          <w:szCs w:val="24"/>
        </w:rPr>
      </w:pPr>
      <w:bookmarkStart w:id="101" w:name="_Hlk96777719"/>
      <w:r>
        <w:rPr>
          <w:sz w:val="24"/>
          <w:szCs w:val="24"/>
        </w:rPr>
        <w:t>Podsumowując, n</w:t>
      </w:r>
      <w:r w:rsidR="009871AE" w:rsidRPr="007332E8">
        <w:rPr>
          <w:sz w:val="24"/>
          <w:szCs w:val="24"/>
        </w:rPr>
        <w:t>a potrzeby analizy problemów społecznych wykorzystano poniższe wskaźniki:</w:t>
      </w:r>
    </w:p>
    <w:bookmarkEnd w:id="101"/>
    <w:p w14:paraId="6D9BDE5E" w14:textId="77777777" w:rsidR="007332E8" w:rsidRPr="007332E8" w:rsidRDefault="007332E8" w:rsidP="007332E8">
      <w:pPr>
        <w:pStyle w:val="Akapitzlist"/>
        <w:numPr>
          <w:ilvl w:val="0"/>
          <w:numId w:val="19"/>
        </w:numPr>
        <w:shd w:val="clear" w:color="auto" w:fill="F2F2F2"/>
        <w:suppressAutoHyphens w:val="0"/>
        <w:spacing w:before="120" w:after="0" w:line="264" w:lineRule="auto"/>
        <w:textAlignment w:val="auto"/>
        <w:rPr>
          <w:sz w:val="24"/>
          <w:szCs w:val="24"/>
        </w:rPr>
      </w:pPr>
      <w:r w:rsidRPr="007332E8">
        <w:rPr>
          <w:sz w:val="24"/>
          <w:szCs w:val="24"/>
        </w:rPr>
        <w:t>Zmiana liczby mieszkańców w latach 2019-2024 na 100 osób – destymulanta</w:t>
      </w:r>
    </w:p>
    <w:p w14:paraId="0E3A7BA7" w14:textId="77777777" w:rsidR="007332E8" w:rsidRPr="007332E8" w:rsidRDefault="007332E8" w:rsidP="007332E8">
      <w:pPr>
        <w:pStyle w:val="Akapitzlist"/>
        <w:numPr>
          <w:ilvl w:val="0"/>
          <w:numId w:val="19"/>
        </w:numPr>
        <w:shd w:val="clear" w:color="auto" w:fill="F2F2F2"/>
        <w:suppressAutoHyphens w:val="0"/>
        <w:spacing w:before="120" w:after="0" w:line="264" w:lineRule="auto"/>
        <w:textAlignment w:val="auto"/>
        <w:rPr>
          <w:sz w:val="24"/>
          <w:szCs w:val="24"/>
        </w:rPr>
      </w:pPr>
      <w:r w:rsidRPr="007332E8">
        <w:rPr>
          <w:sz w:val="24"/>
          <w:szCs w:val="24"/>
        </w:rPr>
        <w:t>Frekwencja wyborcza (wybory samorządowe) – stymulanta</w:t>
      </w:r>
    </w:p>
    <w:p w14:paraId="74A67295" w14:textId="3C51691A" w:rsidR="007332E8" w:rsidRPr="007332E8" w:rsidRDefault="007332E8" w:rsidP="007332E8">
      <w:pPr>
        <w:pStyle w:val="Akapitzlist"/>
        <w:numPr>
          <w:ilvl w:val="0"/>
          <w:numId w:val="19"/>
        </w:numPr>
        <w:shd w:val="clear" w:color="auto" w:fill="F2F2F2"/>
        <w:suppressAutoHyphens w:val="0"/>
        <w:spacing w:before="120" w:after="0" w:line="264" w:lineRule="auto"/>
        <w:textAlignment w:val="auto"/>
        <w:rPr>
          <w:sz w:val="24"/>
          <w:szCs w:val="24"/>
        </w:rPr>
      </w:pPr>
      <w:r w:rsidRPr="007332E8">
        <w:rPr>
          <w:sz w:val="24"/>
          <w:szCs w:val="24"/>
        </w:rPr>
        <w:t>Liczba osób bezrobotnych na 100 osób</w:t>
      </w:r>
      <w:r w:rsidR="00C127A2">
        <w:rPr>
          <w:sz w:val="24"/>
          <w:szCs w:val="24"/>
        </w:rPr>
        <w:t xml:space="preserve"> </w:t>
      </w:r>
      <w:r w:rsidRPr="007332E8">
        <w:rPr>
          <w:sz w:val="24"/>
          <w:szCs w:val="24"/>
        </w:rPr>
        <w:t>– destymulanta</w:t>
      </w:r>
    </w:p>
    <w:p w14:paraId="3086B1D2" w14:textId="03DEAD4C" w:rsidR="007332E8" w:rsidRDefault="007332E8" w:rsidP="007332E8">
      <w:pPr>
        <w:pStyle w:val="Akapitzlist"/>
        <w:numPr>
          <w:ilvl w:val="0"/>
          <w:numId w:val="19"/>
        </w:numPr>
        <w:shd w:val="clear" w:color="auto" w:fill="F2F2F2"/>
        <w:suppressAutoHyphens w:val="0"/>
        <w:spacing w:before="120" w:after="0" w:line="264" w:lineRule="auto"/>
        <w:textAlignment w:val="auto"/>
        <w:rPr>
          <w:sz w:val="24"/>
          <w:szCs w:val="24"/>
        </w:rPr>
      </w:pPr>
      <w:r w:rsidRPr="007332E8">
        <w:rPr>
          <w:sz w:val="24"/>
          <w:szCs w:val="24"/>
        </w:rPr>
        <w:t xml:space="preserve">Liczba przestępstw i wykroczeń stwierdzonych </w:t>
      </w:r>
      <w:proofErr w:type="gramStart"/>
      <w:r w:rsidRPr="007332E8">
        <w:rPr>
          <w:sz w:val="24"/>
          <w:szCs w:val="24"/>
        </w:rPr>
        <w:t>nie obejmujących</w:t>
      </w:r>
      <w:proofErr w:type="gramEnd"/>
      <w:r w:rsidRPr="007332E8">
        <w:rPr>
          <w:sz w:val="24"/>
          <w:szCs w:val="24"/>
        </w:rPr>
        <w:t xml:space="preserve"> zdarzeń drogowych i przestępstw gospodarczych, w tym czyny karalne nieletnich tj. do 17-tego roku życia na 100 osób – destymulanta</w:t>
      </w:r>
    </w:p>
    <w:p w14:paraId="6D87BE34" w14:textId="70BA3563" w:rsidR="00322E88" w:rsidRDefault="00322E88" w:rsidP="007332E8">
      <w:pPr>
        <w:pStyle w:val="Akapitzlist"/>
        <w:numPr>
          <w:ilvl w:val="0"/>
          <w:numId w:val="19"/>
        </w:numPr>
        <w:shd w:val="clear" w:color="auto" w:fill="F2F2F2"/>
        <w:suppressAutoHyphens w:val="0"/>
        <w:spacing w:before="120" w:after="0" w:line="264" w:lineRule="auto"/>
        <w:textAlignment w:val="auto"/>
        <w:rPr>
          <w:sz w:val="24"/>
          <w:szCs w:val="24"/>
        </w:rPr>
      </w:pPr>
      <w:r w:rsidRPr="00322E88">
        <w:rPr>
          <w:sz w:val="24"/>
          <w:szCs w:val="24"/>
        </w:rPr>
        <w:t>Odsetek ludności w wieku poprodukcyjnym (%)</w:t>
      </w:r>
      <w:r>
        <w:rPr>
          <w:sz w:val="24"/>
          <w:szCs w:val="24"/>
        </w:rPr>
        <w:t xml:space="preserve"> - destymulanta</w:t>
      </w:r>
    </w:p>
    <w:p w14:paraId="7E9FC50F" w14:textId="7F29B664" w:rsidR="00941835" w:rsidRDefault="00941835" w:rsidP="007332E8">
      <w:pPr>
        <w:pStyle w:val="Akapitzlist"/>
        <w:numPr>
          <w:ilvl w:val="0"/>
          <w:numId w:val="19"/>
        </w:numPr>
        <w:shd w:val="clear" w:color="auto" w:fill="F2F2F2"/>
        <w:suppressAutoHyphens w:val="0"/>
        <w:spacing w:before="120" w:after="0" w:line="264" w:lineRule="auto"/>
        <w:textAlignment w:val="auto"/>
        <w:rPr>
          <w:sz w:val="24"/>
          <w:szCs w:val="24"/>
        </w:rPr>
      </w:pPr>
      <w:r w:rsidRPr="00941835">
        <w:rPr>
          <w:sz w:val="24"/>
          <w:szCs w:val="24"/>
        </w:rPr>
        <w:t>Sytuacja dochodowa i warunki życia mieszkańców</w:t>
      </w:r>
      <w:r>
        <w:rPr>
          <w:sz w:val="24"/>
          <w:szCs w:val="24"/>
        </w:rPr>
        <w:t xml:space="preserve"> – destymulanta </w:t>
      </w:r>
    </w:p>
    <w:p w14:paraId="108EE4F8" w14:textId="321644DA" w:rsidR="00941835" w:rsidRDefault="00941835" w:rsidP="007332E8">
      <w:pPr>
        <w:pStyle w:val="Akapitzlist"/>
        <w:numPr>
          <w:ilvl w:val="0"/>
          <w:numId w:val="19"/>
        </w:numPr>
        <w:shd w:val="clear" w:color="auto" w:fill="F2F2F2"/>
        <w:suppressAutoHyphens w:val="0"/>
        <w:spacing w:before="120" w:after="0" w:line="264" w:lineRule="auto"/>
        <w:textAlignment w:val="auto"/>
        <w:rPr>
          <w:sz w:val="24"/>
          <w:szCs w:val="24"/>
        </w:rPr>
      </w:pPr>
      <w:r w:rsidRPr="00941835">
        <w:rPr>
          <w:sz w:val="24"/>
          <w:szCs w:val="24"/>
        </w:rPr>
        <w:t>Funkcjonowanie rodzin i opieka nad osobami zależnymi</w:t>
      </w:r>
      <w:r>
        <w:rPr>
          <w:sz w:val="24"/>
          <w:szCs w:val="24"/>
        </w:rPr>
        <w:t xml:space="preserve"> – destymulanta </w:t>
      </w:r>
    </w:p>
    <w:p w14:paraId="013CFA52" w14:textId="4A0F8D82" w:rsidR="00941835" w:rsidRPr="007332E8" w:rsidRDefault="00941835" w:rsidP="007332E8">
      <w:pPr>
        <w:pStyle w:val="Akapitzlist"/>
        <w:numPr>
          <w:ilvl w:val="0"/>
          <w:numId w:val="19"/>
        </w:numPr>
        <w:shd w:val="clear" w:color="auto" w:fill="F2F2F2"/>
        <w:suppressAutoHyphens w:val="0"/>
        <w:spacing w:before="120" w:after="0" w:line="264" w:lineRule="auto"/>
        <w:textAlignment w:val="auto"/>
        <w:rPr>
          <w:sz w:val="24"/>
          <w:szCs w:val="24"/>
        </w:rPr>
      </w:pPr>
      <w:r w:rsidRPr="00941835">
        <w:rPr>
          <w:sz w:val="24"/>
          <w:szCs w:val="24"/>
        </w:rPr>
        <w:t>Dysfunkcje społeczne, uzależnienia i przemoc</w:t>
      </w:r>
      <w:r>
        <w:rPr>
          <w:sz w:val="24"/>
          <w:szCs w:val="24"/>
        </w:rPr>
        <w:t xml:space="preserve"> – destymulanta</w:t>
      </w:r>
    </w:p>
    <w:p w14:paraId="096733FD" w14:textId="77777777" w:rsidR="004B2CC1" w:rsidRDefault="004B2CC1" w:rsidP="004B2CC1">
      <w:pPr>
        <w:shd w:val="clear" w:color="auto" w:fill="FFFFFF" w:themeFill="background1"/>
        <w:suppressAutoHyphens w:val="0"/>
        <w:spacing w:before="120" w:after="0" w:line="264" w:lineRule="auto"/>
        <w:textAlignment w:val="auto"/>
        <w:rPr>
          <w:sz w:val="24"/>
          <w:szCs w:val="24"/>
        </w:rPr>
      </w:pPr>
      <w:r w:rsidRPr="004B2CC1">
        <w:rPr>
          <w:sz w:val="24"/>
          <w:szCs w:val="24"/>
        </w:rPr>
        <w:t xml:space="preserve">Poniżej zaprezentowano tabelaryczne zestawienie wyników analizy wskaźników przyjętych do oceny uwarunkowań sfery </w:t>
      </w:r>
      <w:r>
        <w:rPr>
          <w:sz w:val="24"/>
          <w:szCs w:val="24"/>
        </w:rPr>
        <w:t xml:space="preserve">społecznej. </w:t>
      </w:r>
    </w:p>
    <w:p w14:paraId="004AACF8" w14:textId="4E35EFDF" w:rsidR="00941835" w:rsidRPr="004B2CC1" w:rsidRDefault="00941835" w:rsidP="004B2CC1">
      <w:pPr>
        <w:shd w:val="clear" w:color="auto" w:fill="FFFFFF" w:themeFill="background1"/>
        <w:suppressAutoHyphens w:val="0"/>
        <w:spacing w:before="120" w:after="0" w:line="264" w:lineRule="auto"/>
        <w:textAlignment w:val="auto"/>
        <w:rPr>
          <w:sz w:val="24"/>
          <w:szCs w:val="24"/>
        </w:rPr>
        <w:sectPr w:rsidR="00941835" w:rsidRPr="004B2CC1" w:rsidSect="00CB7C2D">
          <w:headerReference w:type="default" r:id="rId10"/>
          <w:footerReference w:type="default" r:id="rId11"/>
          <w:pgSz w:w="11906" w:h="16838"/>
          <w:pgMar w:top="993" w:right="1274" w:bottom="1134" w:left="1021" w:header="426" w:footer="708" w:gutter="0"/>
          <w:cols w:space="708"/>
          <w:titlePg/>
          <w:docGrid w:linePitch="299"/>
        </w:sectPr>
      </w:pPr>
    </w:p>
    <w:p w14:paraId="24F8970E" w14:textId="528AF213" w:rsidR="007332E8" w:rsidRPr="007332E8" w:rsidRDefault="00715112" w:rsidP="000913E2">
      <w:pPr>
        <w:pStyle w:val="Legenda"/>
        <w:spacing w:before="0"/>
      </w:pPr>
      <w:bookmarkStart w:id="102" w:name="_Toc67141038"/>
      <w:bookmarkStart w:id="103" w:name="_Toc67307020"/>
      <w:bookmarkStart w:id="104" w:name="_Toc97300844"/>
      <w:bookmarkStart w:id="105" w:name="_Toc219274340"/>
      <w:r w:rsidRPr="003000AC">
        <w:lastRenderedPageBreak/>
        <w:t xml:space="preserve">Tabela </w:t>
      </w:r>
      <w:fldSimple w:instr=" SEQ Tabela \* ARABIC ">
        <w:r w:rsidR="001328FC">
          <w:rPr>
            <w:noProof/>
          </w:rPr>
          <w:t>4</w:t>
        </w:r>
      </w:fldSimple>
      <w:r w:rsidRPr="003000AC">
        <w:t xml:space="preserve">. </w:t>
      </w:r>
      <w:r w:rsidR="009871AE" w:rsidRPr="003000AC">
        <w:rPr>
          <w:rStyle w:val="Tytuksiki"/>
          <w:color w:val="auto"/>
        </w:rPr>
        <w:t>Analiza uwarunkowań społecznych w Gminie</w:t>
      </w:r>
      <w:bookmarkEnd w:id="102"/>
      <w:bookmarkEnd w:id="103"/>
      <w:r w:rsidRPr="003000AC">
        <w:rPr>
          <w:rStyle w:val="Tytuksiki"/>
          <w:color w:val="auto"/>
        </w:rPr>
        <w:t xml:space="preserve"> </w:t>
      </w:r>
      <w:r w:rsidR="00941835">
        <w:rPr>
          <w:rStyle w:val="Tytuksiki"/>
          <w:color w:val="auto"/>
        </w:rPr>
        <w:t xml:space="preserve">Krośniewice </w:t>
      </w:r>
      <w:r w:rsidR="009871AE" w:rsidRPr="003000AC">
        <w:rPr>
          <w:rStyle w:val="Tytuksiki"/>
          <w:color w:val="auto"/>
        </w:rPr>
        <w:t>na podstawie wskaźników na podstawie wskaźników specyficznych dla sfery społecznej</w:t>
      </w:r>
      <w:bookmarkEnd w:id="104"/>
      <w:bookmarkEnd w:id="105"/>
      <w:r w:rsidR="009871AE" w:rsidRPr="003000AC">
        <w:rPr>
          <w:rStyle w:val="Tytuksiki"/>
          <w:color w:val="auto"/>
        </w:rPr>
        <w:t xml:space="preserve"> </w:t>
      </w:r>
    </w:p>
    <w:tbl>
      <w:tblPr>
        <w:tblW w:w="16302" w:type="dxa"/>
        <w:tblInd w:w="-998" w:type="dxa"/>
        <w:tblCellMar>
          <w:left w:w="70" w:type="dxa"/>
          <w:right w:w="70" w:type="dxa"/>
        </w:tblCellMar>
        <w:tblLook w:val="04A0" w:firstRow="1" w:lastRow="0" w:firstColumn="1" w:lastColumn="0" w:noHBand="0" w:noVBand="1"/>
      </w:tblPr>
      <w:tblGrid>
        <w:gridCol w:w="2269"/>
        <w:gridCol w:w="1134"/>
        <w:gridCol w:w="999"/>
        <w:gridCol w:w="1411"/>
        <w:gridCol w:w="1276"/>
        <w:gridCol w:w="1540"/>
        <w:gridCol w:w="1578"/>
        <w:gridCol w:w="1276"/>
        <w:gridCol w:w="1275"/>
        <w:gridCol w:w="1276"/>
        <w:gridCol w:w="1276"/>
        <w:gridCol w:w="992"/>
      </w:tblGrid>
      <w:tr w:rsidR="00917F32" w:rsidRPr="006E6FF5" w14:paraId="75717A84" w14:textId="77777777" w:rsidTr="00AD2D77">
        <w:trPr>
          <w:trHeight w:val="3235"/>
        </w:trPr>
        <w:tc>
          <w:tcPr>
            <w:tcW w:w="2269" w:type="dxa"/>
            <w:tcBorders>
              <w:top w:val="single" w:sz="4" w:space="0" w:color="auto"/>
              <w:left w:val="single" w:sz="4" w:space="0" w:color="auto"/>
              <w:bottom w:val="single" w:sz="4" w:space="0" w:color="auto"/>
              <w:right w:val="single" w:sz="4" w:space="0" w:color="auto"/>
            </w:tcBorders>
            <w:shd w:val="clear" w:color="000080" w:fill="4472C4"/>
            <w:noWrap/>
            <w:vAlign w:val="center"/>
            <w:hideMark/>
          </w:tcPr>
          <w:p w14:paraId="306FBCA4" w14:textId="77777777" w:rsidR="006E6FF5" w:rsidRPr="006E6FF5" w:rsidRDefault="006E6FF5" w:rsidP="006E6FF5">
            <w:pPr>
              <w:suppressAutoHyphens w:val="0"/>
              <w:autoSpaceDN/>
              <w:spacing w:after="0"/>
              <w:jc w:val="center"/>
              <w:textAlignment w:val="auto"/>
              <w:rPr>
                <w:rFonts w:eastAsia="Times New Roman" w:cs="Calibri"/>
                <w:color w:val="FFFFFF"/>
                <w:sz w:val="20"/>
                <w:szCs w:val="20"/>
                <w:lang w:eastAsia="pl-PL"/>
              </w:rPr>
            </w:pPr>
            <w:r w:rsidRPr="006E6FF5">
              <w:rPr>
                <w:rFonts w:eastAsia="Times New Roman" w:cs="Calibri"/>
                <w:color w:val="FFFFFF"/>
                <w:sz w:val="20"/>
                <w:szCs w:val="20"/>
                <w:lang w:eastAsia="pl-PL"/>
              </w:rPr>
              <w:t>Jednostka urbanistyczna</w:t>
            </w:r>
          </w:p>
        </w:tc>
        <w:tc>
          <w:tcPr>
            <w:tcW w:w="1134" w:type="dxa"/>
            <w:tcBorders>
              <w:top w:val="single" w:sz="4" w:space="0" w:color="auto"/>
              <w:left w:val="nil"/>
              <w:bottom w:val="single" w:sz="4" w:space="0" w:color="auto"/>
              <w:right w:val="single" w:sz="4" w:space="0" w:color="auto"/>
            </w:tcBorders>
            <w:shd w:val="clear" w:color="000080" w:fill="4472C4"/>
            <w:vAlign w:val="center"/>
            <w:hideMark/>
          </w:tcPr>
          <w:p w14:paraId="49A4A509" w14:textId="77777777" w:rsidR="006E6FF5" w:rsidRPr="006E6FF5" w:rsidRDefault="006E6FF5" w:rsidP="006E6FF5">
            <w:pPr>
              <w:suppressAutoHyphens w:val="0"/>
              <w:autoSpaceDN/>
              <w:spacing w:after="0"/>
              <w:jc w:val="center"/>
              <w:textAlignment w:val="auto"/>
              <w:rPr>
                <w:rFonts w:eastAsia="Times New Roman" w:cs="Calibri"/>
                <w:color w:val="FFFFFF"/>
                <w:sz w:val="20"/>
                <w:szCs w:val="20"/>
                <w:lang w:eastAsia="pl-PL"/>
              </w:rPr>
            </w:pPr>
            <w:r w:rsidRPr="006E6FF5">
              <w:rPr>
                <w:rFonts w:eastAsia="Times New Roman" w:cs="Calibri"/>
                <w:color w:val="FFFFFF"/>
                <w:sz w:val="20"/>
                <w:szCs w:val="20"/>
                <w:lang w:eastAsia="pl-PL"/>
              </w:rPr>
              <w:t xml:space="preserve">1. Liczba mieszkańców na 2019 rok </w:t>
            </w:r>
          </w:p>
        </w:tc>
        <w:tc>
          <w:tcPr>
            <w:tcW w:w="999" w:type="dxa"/>
            <w:tcBorders>
              <w:top w:val="single" w:sz="4" w:space="0" w:color="auto"/>
              <w:left w:val="nil"/>
              <w:bottom w:val="single" w:sz="4" w:space="0" w:color="auto"/>
              <w:right w:val="single" w:sz="4" w:space="0" w:color="auto"/>
            </w:tcBorders>
            <w:shd w:val="clear" w:color="000080" w:fill="4472C4"/>
            <w:vAlign w:val="center"/>
            <w:hideMark/>
          </w:tcPr>
          <w:p w14:paraId="4C5C32B8" w14:textId="77777777" w:rsidR="006E6FF5" w:rsidRPr="006E6FF5" w:rsidRDefault="006E6FF5" w:rsidP="006E6FF5">
            <w:pPr>
              <w:suppressAutoHyphens w:val="0"/>
              <w:autoSpaceDN/>
              <w:spacing w:after="0"/>
              <w:jc w:val="center"/>
              <w:textAlignment w:val="auto"/>
              <w:rPr>
                <w:rFonts w:eastAsia="Times New Roman" w:cs="Calibri"/>
                <w:color w:val="FFFFFF"/>
                <w:sz w:val="20"/>
                <w:szCs w:val="20"/>
                <w:lang w:eastAsia="pl-PL"/>
              </w:rPr>
            </w:pPr>
            <w:r w:rsidRPr="006E6FF5">
              <w:rPr>
                <w:rFonts w:eastAsia="Times New Roman" w:cs="Calibri"/>
                <w:color w:val="FFFFFF"/>
                <w:sz w:val="20"/>
                <w:szCs w:val="20"/>
                <w:lang w:eastAsia="pl-PL"/>
              </w:rPr>
              <w:t xml:space="preserve">1. Liczba mieszkańców na 2024 rok </w:t>
            </w:r>
          </w:p>
        </w:tc>
        <w:tc>
          <w:tcPr>
            <w:tcW w:w="1411" w:type="dxa"/>
            <w:tcBorders>
              <w:top w:val="single" w:sz="4" w:space="0" w:color="auto"/>
              <w:left w:val="nil"/>
              <w:bottom w:val="single" w:sz="4" w:space="0" w:color="auto"/>
              <w:right w:val="single" w:sz="4" w:space="0" w:color="auto"/>
            </w:tcBorders>
            <w:shd w:val="clear" w:color="000080" w:fill="4472C4"/>
            <w:vAlign w:val="center"/>
            <w:hideMark/>
          </w:tcPr>
          <w:p w14:paraId="08129EA1" w14:textId="77777777" w:rsidR="006E6FF5" w:rsidRPr="006E6FF5" w:rsidRDefault="006E6FF5" w:rsidP="006E6FF5">
            <w:pPr>
              <w:suppressAutoHyphens w:val="0"/>
              <w:autoSpaceDN/>
              <w:spacing w:after="0"/>
              <w:jc w:val="center"/>
              <w:textAlignment w:val="auto"/>
              <w:rPr>
                <w:rFonts w:eastAsia="Times New Roman" w:cs="Calibri"/>
                <w:color w:val="FFFFFF"/>
                <w:sz w:val="20"/>
                <w:szCs w:val="20"/>
                <w:lang w:eastAsia="pl-PL"/>
              </w:rPr>
            </w:pPr>
            <w:r w:rsidRPr="006E6FF5">
              <w:rPr>
                <w:rFonts w:eastAsia="Times New Roman" w:cs="Calibri"/>
                <w:color w:val="FFFFFF"/>
                <w:sz w:val="20"/>
                <w:szCs w:val="20"/>
                <w:lang w:eastAsia="pl-PL"/>
              </w:rPr>
              <w:t>1. Zmiana liczby mieszkańców w latach 2019-2024 na 100 osób</w:t>
            </w:r>
          </w:p>
        </w:tc>
        <w:tc>
          <w:tcPr>
            <w:tcW w:w="1276" w:type="dxa"/>
            <w:tcBorders>
              <w:top w:val="single" w:sz="4" w:space="0" w:color="auto"/>
              <w:left w:val="nil"/>
              <w:bottom w:val="single" w:sz="4" w:space="0" w:color="auto"/>
              <w:right w:val="single" w:sz="4" w:space="0" w:color="auto"/>
            </w:tcBorders>
            <w:shd w:val="clear" w:color="000080" w:fill="4472C4"/>
            <w:vAlign w:val="center"/>
            <w:hideMark/>
          </w:tcPr>
          <w:p w14:paraId="4D5C3B89" w14:textId="77777777" w:rsidR="006E6FF5" w:rsidRPr="006E6FF5" w:rsidRDefault="006E6FF5" w:rsidP="006E6FF5">
            <w:pPr>
              <w:suppressAutoHyphens w:val="0"/>
              <w:autoSpaceDN/>
              <w:spacing w:after="0"/>
              <w:jc w:val="center"/>
              <w:textAlignment w:val="auto"/>
              <w:rPr>
                <w:rFonts w:eastAsia="Times New Roman" w:cs="Calibri"/>
                <w:color w:val="FFFFFF"/>
                <w:sz w:val="20"/>
                <w:szCs w:val="20"/>
                <w:lang w:eastAsia="pl-PL"/>
              </w:rPr>
            </w:pPr>
            <w:r w:rsidRPr="006E6FF5">
              <w:rPr>
                <w:rFonts w:eastAsia="Times New Roman" w:cs="Calibri"/>
                <w:color w:val="FFFFFF"/>
                <w:sz w:val="20"/>
                <w:szCs w:val="20"/>
                <w:lang w:eastAsia="pl-PL"/>
              </w:rPr>
              <w:t xml:space="preserve">2. Frekwencja wyborcza (wybory samorządowe) </w:t>
            </w:r>
          </w:p>
        </w:tc>
        <w:tc>
          <w:tcPr>
            <w:tcW w:w="1540" w:type="dxa"/>
            <w:tcBorders>
              <w:top w:val="single" w:sz="4" w:space="0" w:color="auto"/>
              <w:left w:val="nil"/>
              <w:bottom w:val="nil"/>
              <w:right w:val="single" w:sz="4" w:space="0" w:color="auto"/>
            </w:tcBorders>
            <w:shd w:val="clear" w:color="000080" w:fill="4472C4"/>
            <w:vAlign w:val="center"/>
            <w:hideMark/>
          </w:tcPr>
          <w:p w14:paraId="6664E7AF" w14:textId="77777777" w:rsidR="006E6FF5" w:rsidRPr="006E6FF5" w:rsidRDefault="006E6FF5" w:rsidP="006E6FF5">
            <w:pPr>
              <w:suppressAutoHyphens w:val="0"/>
              <w:autoSpaceDN/>
              <w:spacing w:after="0"/>
              <w:jc w:val="center"/>
              <w:textAlignment w:val="auto"/>
              <w:rPr>
                <w:rFonts w:eastAsia="Times New Roman" w:cs="Calibri"/>
                <w:color w:val="FFFFFF"/>
                <w:sz w:val="20"/>
                <w:szCs w:val="20"/>
                <w:lang w:eastAsia="pl-PL"/>
              </w:rPr>
            </w:pPr>
            <w:r w:rsidRPr="006E6FF5">
              <w:rPr>
                <w:rFonts w:eastAsia="Times New Roman" w:cs="Calibri"/>
                <w:color w:val="FFFFFF"/>
                <w:sz w:val="20"/>
                <w:szCs w:val="20"/>
                <w:lang w:eastAsia="pl-PL"/>
              </w:rPr>
              <w:t xml:space="preserve">3. Liczba osób bezrobotnych na 100 osób </w:t>
            </w:r>
          </w:p>
        </w:tc>
        <w:tc>
          <w:tcPr>
            <w:tcW w:w="1578"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48191A83" w14:textId="77777777" w:rsidR="006E6FF5" w:rsidRPr="006E6FF5" w:rsidRDefault="006E6FF5" w:rsidP="00917F32">
            <w:pPr>
              <w:suppressAutoHyphens w:val="0"/>
              <w:autoSpaceDN/>
              <w:spacing w:after="0"/>
              <w:ind w:right="-69"/>
              <w:jc w:val="center"/>
              <w:textAlignment w:val="auto"/>
              <w:rPr>
                <w:rFonts w:eastAsia="Times New Roman" w:cs="Calibri"/>
                <w:color w:val="FFFFFF"/>
                <w:sz w:val="20"/>
                <w:szCs w:val="20"/>
                <w:lang w:eastAsia="pl-PL"/>
              </w:rPr>
            </w:pPr>
            <w:r w:rsidRPr="006E6FF5">
              <w:rPr>
                <w:rFonts w:eastAsia="Times New Roman" w:cs="Calibri"/>
                <w:color w:val="FFFFFF"/>
                <w:sz w:val="20"/>
                <w:szCs w:val="20"/>
                <w:lang w:eastAsia="pl-PL"/>
              </w:rPr>
              <w:t xml:space="preserve">4. Liczba przestępstw i wykroczeń stwierdzonych </w:t>
            </w:r>
            <w:proofErr w:type="gramStart"/>
            <w:r w:rsidRPr="006E6FF5">
              <w:rPr>
                <w:rFonts w:eastAsia="Times New Roman" w:cs="Calibri"/>
                <w:color w:val="FFFFFF"/>
                <w:sz w:val="20"/>
                <w:szCs w:val="20"/>
                <w:lang w:eastAsia="pl-PL"/>
              </w:rPr>
              <w:t>nie obejmujących</w:t>
            </w:r>
            <w:proofErr w:type="gramEnd"/>
            <w:r w:rsidRPr="006E6FF5">
              <w:rPr>
                <w:rFonts w:eastAsia="Times New Roman" w:cs="Calibri"/>
                <w:color w:val="FFFFFF"/>
                <w:sz w:val="20"/>
                <w:szCs w:val="20"/>
                <w:lang w:eastAsia="pl-PL"/>
              </w:rPr>
              <w:t xml:space="preserve"> zdarzeń drogowych i przestępstw gospodarczych, w tym czyny karalne nieletnich tj. do 17-tego roku życia na 100 osób </w:t>
            </w:r>
          </w:p>
        </w:tc>
        <w:tc>
          <w:tcPr>
            <w:tcW w:w="1276"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061AE9B0" w14:textId="77777777" w:rsidR="006E6FF5" w:rsidRPr="006E6FF5" w:rsidRDefault="006E6FF5" w:rsidP="006E6FF5">
            <w:pPr>
              <w:suppressAutoHyphens w:val="0"/>
              <w:autoSpaceDN/>
              <w:spacing w:after="0"/>
              <w:jc w:val="center"/>
              <w:textAlignment w:val="auto"/>
              <w:rPr>
                <w:rFonts w:eastAsia="Times New Roman" w:cs="Calibri"/>
                <w:color w:val="FFFFFF"/>
                <w:sz w:val="20"/>
                <w:szCs w:val="20"/>
                <w:lang w:eastAsia="pl-PL"/>
              </w:rPr>
            </w:pPr>
            <w:r w:rsidRPr="006E6FF5">
              <w:rPr>
                <w:rFonts w:eastAsia="Times New Roman" w:cs="Calibri"/>
                <w:color w:val="FFFFFF"/>
                <w:sz w:val="20"/>
                <w:szCs w:val="20"/>
                <w:lang w:eastAsia="pl-PL"/>
              </w:rPr>
              <w:t xml:space="preserve">5. Odsetek ludności w wieku poprodukcyjnym </w:t>
            </w:r>
          </w:p>
        </w:tc>
        <w:tc>
          <w:tcPr>
            <w:tcW w:w="1275" w:type="dxa"/>
            <w:tcBorders>
              <w:top w:val="single" w:sz="4" w:space="0" w:color="auto"/>
              <w:left w:val="single" w:sz="4" w:space="0" w:color="auto"/>
              <w:bottom w:val="single" w:sz="4" w:space="0" w:color="auto"/>
              <w:right w:val="single" w:sz="4" w:space="0" w:color="auto"/>
            </w:tcBorders>
            <w:shd w:val="clear" w:color="000080" w:fill="4472C4"/>
            <w:vAlign w:val="center"/>
            <w:hideMark/>
          </w:tcPr>
          <w:p w14:paraId="5183AD19" w14:textId="77777777" w:rsidR="006E6FF5" w:rsidRPr="006E6FF5" w:rsidRDefault="006E6FF5" w:rsidP="006E6FF5">
            <w:pPr>
              <w:suppressAutoHyphens w:val="0"/>
              <w:autoSpaceDN/>
              <w:spacing w:after="0"/>
              <w:jc w:val="center"/>
              <w:textAlignment w:val="auto"/>
              <w:rPr>
                <w:rFonts w:eastAsia="Times New Roman" w:cs="Calibri"/>
                <w:color w:val="FFFFFF"/>
                <w:sz w:val="20"/>
                <w:szCs w:val="20"/>
                <w:lang w:eastAsia="pl-PL"/>
              </w:rPr>
            </w:pPr>
            <w:r w:rsidRPr="006E6FF5">
              <w:rPr>
                <w:rFonts w:eastAsia="Times New Roman" w:cs="Calibri"/>
                <w:color w:val="FFFFFF"/>
                <w:sz w:val="20"/>
                <w:szCs w:val="20"/>
                <w:lang w:eastAsia="pl-PL"/>
              </w:rPr>
              <w:t>6. Sytuacja dochodowa i warunki życia mieszkańców</w:t>
            </w:r>
          </w:p>
        </w:tc>
        <w:tc>
          <w:tcPr>
            <w:tcW w:w="1276" w:type="dxa"/>
            <w:tcBorders>
              <w:top w:val="single" w:sz="4" w:space="0" w:color="auto"/>
              <w:left w:val="nil"/>
              <w:bottom w:val="single" w:sz="4" w:space="0" w:color="auto"/>
              <w:right w:val="single" w:sz="4" w:space="0" w:color="auto"/>
            </w:tcBorders>
            <w:shd w:val="clear" w:color="000080" w:fill="4472C4"/>
            <w:vAlign w:val="center"/>
            <w:hideMark/>
          </w:tcPr>
          <w:p w14:paraId="43947FB5" w14:textId="77777777" w:rsidR="006E6FF5" w:rsidRPr="006E6FF5" w:rsidRDefault="006E6FF5" w:rsidP="006E6FF5">
            <w:pPr>
              <w:suppressAutoHyphens w:val="0"/>
              <w:autoSpaceDN/>
              <w:spacing w:after="0"/>
              <w:jc w:val="center"/>
              <w:textAlignment w:val="auto"/>
              <w:rPr>
                <w:rFonts w:eastAsia="Times New Roman" w:cs="Calibri"/>
                <w:color w:val="FFFFFF"/>
                <w:sz w:val="20"/>
                <w:szCs w:val="20"/>
                <w:lang w:eastAsia="pl-PL"/>
              </w:rPr>
            </w:pPr>
            <w:r w:rsidRPr="006E6FF5">
              <w:rPr>
                <w:rFonts w:eastAsia="Times New Roman" w:cs="Calibri"/>
                <w:color w:val="FFFFFF"/>
                <w:sz w:val="20"/>
                <w:szCs w:val="20"/>
                <w:lang w:eastAsia="pl-PL"/>
              </w:rPr>
              <w:t>7. Funkcjonowanie rodzin i opieka nad osobami zależnymi</w:t>
            </w:r>
          </w:p>
        </w:tc>
        <w:tc>
          <w:tcPr>
            <w:tcW w:w="1276" w:type="dxa"/>
            <w:tcBorders>
              <w:top w:val="single" w:sz="4" w:space="0" w:color="auto"/>
              <w:left w:val="nil"/>
              <w:bottom w:val="single" w:sz="4" w:space="0" w:color="auto"/>
              <w:right w:val="single" w:sz="4" w:space="0" w:color="auto"/>
            </w:tcBorders>
            <w:shd w:val="clear" w:color="000080" w:fill="4472C4"/>
            <w:vAlign w:val="center"/>
            <w:hideMark/>
          </w:tcPr>
          <w:p w14:paraId="32F4249D" w14:textId="77777777" w:rsidR="006E6FF5" w:rsidRPr="006E6FF5" w:rsidRDefault="006E6FF5" w:rsidP="006E6FF5">
            <w:pPr>
              <w:suppressAutoHyphens w:val="0"/>
              <w:autoSpaceDN/>
              <w:spacing w:after="0"/>
              <w:jc w:val="center"/>
              <w:textAlignment w:val="auto"/>
              <w:rPr>
                <w:rFonts w:eastAsia="Times New Roman" w:cs="Calibri"/>
                <w:color w:val="FFFFFF"/>
                <w:sz w:val="20"/>
                <w:szCs w:val="20"/>
                <w:lang w:eastAsia="pl-PL"/>
              </w:rPr>
            </w:pPr>
            <w:r w:rsidRPr="006E6FF5">
              <w:rPr>
                <w:rFonts w:eastAsia="Times New Roman" w:cs="Calibri"/>
                <w:color w:val="FFFFFF"/>
                <w:sz w:val="20"/>
                <w:szCs w:val="20"/>
                <w:lang w:eastAsia="pl-PL"/>
              </w:rPr>
              <w:t>8. Dysfunkcje społeczne, uzależnienia i przemoc</w:t>
            </w:r>
          </w:p>
        </w:tc>
        <w:tc>
          <w:tcPr>
            <w:tcW w:w="992" w:type="dxa"/>
            <w:tcBorders>
              <w:top w:val="nil"/>
              <w:left w:val="nil"/>
              <w:bottom w:val="nil"/>
              <w:right w:val="nil"/>
            </w:tcBorders>
            <w:shd w:val="clear" w:color="000080" w:fill="4472C4"/>
            <w:vAlign w:val="center"/>
            <w:hideMark/>
          </w:tcPr>
          <w:p w14:paraId="5B2D570D" w14:textId="77777777" w:rsidR="006E6FF5" w:rsidRPr="00E20BBA" w:rsidRDefault="006E6FF5" w:rsidP="006E6FF5">
            <w:pPr>
              <w:suppressAutoHyphens w:val="0"/>
              <w:autoSpaceDN/>
              <w:spacing w:after="0"/>
              <w:jc w:val="center"/>
              <w:textAlignment w:val="auto"/>
              <w:rPr>
                <w:rFonts w:eastAsia="Times New Roman" w:cs="Calibri"/>
                <w:color w:val="FFFFFF"/>
                <w:sz w:val="20"/>
                <w:szCs w:val="20"/>
                <w:lang w:eastAsia="pl-PL"/>
              </w:rPr>
            </w:pPr>
            <w:r w:rsidRPr="00E20BBA">
              <w:rPr>
                <w:rFonts w:eastAsia="Times New Roman" w:cs="Calibri"/>
                <w:color w:val="FFFFFF"/>
                <w:sz w:val="20"/>
                <w:szCs w:val="20"/>
                <w:lang w:eastAsia="pl-PL"/>
              </w:rPr>
              <w:t xml:space="preserve">IMD Społeczne </w:t>
            </w:r>
          </w:p>
        </w:tc>
      </w:tr>
      <w:tr w:rsidR="00917F32" w:rsidRPr="006E6FF5" w14:paraId="0120B235"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1D761044"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Osiedle nr 1</w:t>
            </w:r>
          </w:p>
        </w:tc>
        <w:tc>
          <w:tcPr>
            <w:tcW w:w="1134" w:type="dxa"/>
            <w:tcBorders>
              <w:top w:val="nil"/>
              <w:left w:val="nil"/>
              <w:bottom w:val="single" w:sz="4" w:space="0" w:color="auto"/>
              <w:right w:val="single" w:sz="4" w:space="0" w:color="auto"/>
            </w:tcBorders>
            <w:shd w:val="clear" w:color="F2F2F2" w:fill="FFFFFF"/>
            <w:noWrap/>
            <w:vAlign w:val="bottom"/>
            <w:hideMark/>
          </w:tcPr>
          <w:p w14:paraId="555AD35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621</w:t>
            </w:r>
          </w:p>
        </w:tc>
        <w:tc>
          <w:tcPr>
            <w:tcW w:w="999" w:type="dxa"/>
            <w:tcBorders>
              <w:top w:val="nil"/>
              <w:left w:val="nil"/>
              <w:bottom w:val="single" w:sz="4" w:space="0" w:color="auto"/>
              <w:right w:val="single" w:sz="4" w:space="0" w:color="auto"/>
            </w:tcBorders>
            <w:shd w:val="clear" w:color="F2F2F2" w:fill="FFFFFF"/>
            <w:noWrap/>
            <w:vAlign w:val="bottom"/>
            <w:hideMark/>
          </w:tcPr>
          <w:p w14:paraId="186AE49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570</w:t>
            </w:r>
          </w:p>
        </w:tc>
        <w:tc>
          <w:tcPr>
            <w:tcW w:w="1411" w:type="dxa"/>
            <w:tcBorders>
              <w:top w:val="nil"/>
              <w:left w:val="nil"/>
              <w:bottom w:val="single" w:sz="4" w:space="0" w:color="auto"/>
              <w:right w:val="single" w:sz="4" w:space="0" w:color="auto"/>
            </w:tcBorders>
            <w:shd w:val="clear" w:color="F2F2F2" w:fill="FFE699"/>
            <w:noWrap/>
            <w:vAlign w:val="bottom"/>
            <w:hideMark/>
          </w:tcPr>
          <w:p w14:paraId="57D00D8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-8,21</w:t>
            </w:r>
          </w:p>
        </w:tc>
        <w:tc>
          <w:tcPr>
            <w:tcW w:w="1276" w:type="dxa"/>
            <w:tcBorders>
              <w:top w:val="nil"/>
              <w:left w:val="nil"/>
              <w:bottom w:val="single" w:sz="4" w:space="0" w:color="auto"/>
              <w:right w:val="single" w:sz="4" w:space="0" w:color="auto"/>
            </w:tcBorders>
            <w:shd w:val="clear" w:color="F2F2F2" w:fill="FFE699"/>
            <w:noWrap/>
            <w:vAlign w:val="bottom"/>
            <w:hideMark/>
          </w:tcPr>
          <w:p w14:paraId="63A304D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53,42%</w:t>
            </w:r>
          </w:p>
        </w:tc>
        <w:tc>
          <w:tcPr>
            <w:tcW w:w="1540" w:type="dxa"/>
            <w:tcBorders>
              <w:top w:val="single" w:sz="4" w:space="0" w:color="auto"/>
              <w:left w:val="nil"/>
              <w:bottom w:val="single" w:sz="4" w:space="0" w:color="auto"/>
              <w:right w:val="single" w:sz="4" w:space="0" w:color="auto"/>
            </w:tcBorders>
            <w:shd w:val="clear" w:color="000000" w:fill="F8CBAD"/>
            <w:vAlign w:val="center"/>
            <w:hideMark/>
          </w:tcPr>
          <w:p w14:paraId="7FFDE3C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7,56</w:t>
            </w:r>
          </w:p>
        </w:tc>
        <w:tc>
          <w:tcPr>
            <w:tcW w:w="1578" w:type="dxa"/>
            <w:tcBorders>
              <w:top w:val="single" w:sz="4" w:space="0" w:color="auto"/>
              <w:left w:val="single" w:sz="4" w:space="0" w:color="auto"/>
              <w:bottom w:val="single" w:sz="4" w:space="0" w:color="auto"/>
              <w:right w:val="nil"/>
            </w:tcBorders>
            <w:shd w:val="clear" w:color="000000" w:fill="F8CBAD"/>
            <w:noWrap/>
            <w:vAlign w:val="bottom"/>
            <w:hideMark/>
          </w:tcPr>
          <w:p w14:paraId="4A1744A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8,42</w:t>
            </w:r>
          </w:p>
        </w:tc>
        <w:tc>
          <w:tcPr>
            <w:tcW w:w="1276"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9B2412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30,90%</w:t>
            </w:r>
          </w:p>
        </w:tc>
        <w:tc>
          <w:tcPr>
            <w:tcW w:w="1275"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4679E6E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4D9D252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F8CBAD" w:fill="F8CBAD"/>
            <w:noWrap/>
            <w:vAlign w:val="bottom"/>
            <w:hideMark/>
          </w:tcPr>
          <w:p w14:paraId="20A8450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w:t>
            </w:r>
          </w:p>
        </w:tc>
        <w:tc>
          <w:tcPr>
            <w:tcW w:w="992" w:type="dxa"/>
            <w:tcBorders>
              <w:top w:val="single" w:sz="4" w:space="0" w:color="auto"/>
              <w:left w:val="nil"/>
              <w:bottom w:val="single" w:sz="4" w:space="0" w:color="auto"/>
              <w:right w:val="single" w:sz="4" w:space="0" w:color="auto"/>
            </w:tcBorders>
            <w:shd w:val="clear" w:color="F2F2F2" w:fill="F8CBAD"/>
            <w:noWrap/>
            <w:vAlign w:val="bottom"/>
            <w:hideMark/>
          </w:tcPr>
          <w:p w14:paraId="726E00C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27</w:t>
            </w:r>
          </w:p>
        </w:tc>
      </w:tr>
      <w:tr w:rsidR="00917F32" w:rsidRPr="006E6FF5" w14:paraId="4E7E58CD"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5E613B8C"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Osiedle nr 2</w:t>
            </w:r>
          </w:p>
        </w:tc>
        <w:tc>
          <w:tcPr>
            <w:tcW w:w="1134" w:type="dxa"/>
            <w:tcBorders>
              <w:top w:val="nil"/>
              <w:left w:val="nil"/>
              <w:bottom w:val="single" w:sz="4" w:space="0" w:color="auto"/>
              <w:right w:val="single" w:sz="4" w:space="0" w:color="auto"/>
            </w:tcBorders>
            <w:shd w:val="clear" w:color="F2F2F2" w:fill="FFFFFF"/>
            <w:noWrap/>
            <w:vAlign w:val="bottom"/>
            <w:hideMark/>
          </w:tcPr>
          <w:p w14:paraId="53364EB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1650</w:t>
            </w:r>
          </w:p>
        </w:tc>
        <w:tc>
          <w:tcPr>
            <w:tcW w:w="999" w:type="dxa"/>
            <w:tcBorders>
              <w:top w:val="nil"/>
              <w:left w:val="nil"/>
              <w:bottom w:val="single" w:sz="4" w:space="0" w:color="auto"/>
              <w:right w:val="single" w:sz="4" w:space="0" w:color="auto"/>
            </w:tcBorders>
            <w:shd w:val="clear" w:color="F2F2F2" w:fill="FFFFFF"/>
            <w:noWrap/>
            <w:vAlign w:val="bottom"/>
            <w:hideMark/>
          </w:tcPr>
          <w:p w14:paraId="6576942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1508</w:t>
            </w:r>
          </w:p>
        </w:tc>
        <w:tc>
          <w:tcPr>
            <w:tcW w:w="1411" w:type="dxa"/>
            <w:tcBorders>
              <w:top w:val="nil"/>
              <w:left w:val="nil"/>
              <w:bottom w:val="single" w:sz="4" w:space="0" w:color="auto"/>
              <w:right w:val="single" w:sz="4" w:space="0" w:color="auto"/>
            </w:tcBorders>
            <w:shd w:val="clear" w:color="F2F2F2" w:fill="FFE699"/>
            <w:noWrap/>
            <w:vAlign w:val="bottom"/>
            <w:hideMark/>
          </w:tcPr>
          <w:p w14:paraId="111E759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-8,61</w:t>
            </w:r>
          </w:p>
        </w:tc>
        <w:tc>
          <w:tcPr>
            <w:tcW w:w="1276" w:type="dxa"/>
            <w:tcBorders>
              <w:top w:val="nil"/>
              <w:left w:val="nil"/>
              <w:bottom w:val="single" w:sz="4" w:space="0" w:color="auto"/>
              <w:right w:val="single" w:sz="4" w:space="0" w:color="auto"/>
            </w:tcBorders>
            <w:shd w:val="clear" w:color="F2F2F2" w:fill="FFE699"/>
            <w:noWrap/>
            <w:vAlign w:val="bottom"/>
            <w:hideMark/>
          </w:tcPr>
          <w:p w14:paraId="5890BD2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56,23%</w:t>
            </w:r>
          </w:p>
        </w:tc>
        <w:tc>
          <w:tcPr>
            <w:tcW w:w="1540" w:type="dxa"/>
            <w:tcBorders>
              <w:top w:val="nil"/>
              <w:left w:val="nil"/>
              <w:bottom w:val="single" w:sz="4" w:space="0" w:color="auto"/>
              <w:right w:val="single" w:sz="4" w:space="0" w:color="auto"/>
            </w:tcBorders>
            <w:shd w:val="clear" w:color="000000" w:fill="F8CBAD"/>
            <w:vAlign w:val="center"/>
            <w:hideMark/>
          </w:tcPr>
          <w:p w14:paraId="43B6331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7,56</w:t>
            </w:r>
          </w:p>
        </w:tc>
        <w:tc>
          <w:tcPr>
            <w:tcW w:w="1578" w:type="dxa"/>
            <w:tcBorders>
              <w:top w:val="nil"/>
              <w:left w:val="single" w:sz="4" w:space="0" w:color="auto"/>
              <w:bottom w:val="single" w:sz="4" w:space="0" w:color="auto"/>
              <w:right w:val="nil"/>
            </w:tcBorders>
            <w:shd w:val="clear" w:color="000000" w:fill="C6E0B4"/>
            <w:noWrap/>
            <w:vAlign w:val="bottom"/>
            <w:hideMark/>
          </w:tcPr>
          <w:p w14:paraId="3FD3386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2,72</w:t>
            </w:r>
          </w:p>
        </w:tc>
        <w:tc>
          <w:tcPr>
            <w:tcW w:w="1276" w:type="dxa"/>
            <w:tcBorders>
              <w:top w:val="nil"/>
              <w:left w:val="single" w:sz="4" w:space="0" w:color="auto"/>
              <w:bottom w:val="single" w:sz="4" w:space="0" w:color="auto"/>
              <w:right w:val="single" w:sz="4" w:space="0" w:color="auto"/>
            </w:tcBorders>
            <w:shd w:val="clear" w:color="000000" w:fill="F8CBAD"/>
            <w:vAlign w:val="center"/>
            <w:hideMark/>
          </w:tcPr>
          <w:p w14:paraId="2528681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30,90%</w:t>
            </w:r>
          </w:p>
        </w:tc>
        <w:tc>
          <w:tcPr>
            <w:tcW w:w="1275"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1A2F1B6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1C3BAD8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F8CBAD" w:fill="F8CBAD"/>
            <w:noWrap/>
            <w:vAlign w:val="bottom"/>
            <w:hideMark/>
          </w:tcPr>
          <w:p w14:paraId="387C6C0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w:t>
            </w:r>
          </w:p>
        </w:tc>
        <w:tc>
          <w:tcPr>
            <w:tcW w:w="992" w:type="dxa"/>
            <w:tcBorders>
              <w:top w:val="nil"/>
              <w:left w:val="nil"/>
              <w:bottom w:val="single" w:sz="4" w:space="0" w:color="auto"/>
              <w:right w:val="single" w:sz="4" w:space="0" w:color="auto"/>
            </w:tcBorders>
            <w:shd w:val="clear" w:color="F2F2F2" w:fill="F8CBAD"/>
            <w:noWrap/>
            <w:vAlign w:val="bottom"/>
            <w:hideMark/>
          </w:tcPr>
          <w:p w14:paraId="184948E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24</w:t>
            </w:r>
          </w:p>
        </w:tc>
      </w:tr>
      <w:tr w:rsidR="00917F32" w:rsidRPr="006E6FF5" w14:paraId="2556B1AD"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6021819E"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Osiedle nr 3 im. Gen. W. Andersa</w:t>
            </w:r>
          </w:p>
        </w:tc>
        <w:tc>
          <w:tcPr>
            <w:tcW w:w="1134" w:type="dxa"/>
            <w:tcBorders>
              <w:top w:val="nil"/>
              <w:left w:val="nil"/>
              <w:bottom w:val="single" w:sz="4" w:space="0" w:color="auto"/>
              <w:right w:val="single" w:sz="4" w:space="0" w:color="auto"/>
            </w:tcBorders>
            <w:shd w:val="clear" w:color="F2F2F2" w:fill="FFFFFF"/>
            <w:noWrap/>
            <w:vAlign w:val="bottom"/>
            <w:hideMark/>
          </w:tcPr>
          <w:p w14:paraId="00767FB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345</w:t>
            </w:r>
          </w:p>
        </w:tc>
        <w:tc>
          <w:tcPr>
            <w:tcW w:w="999" w:type="dxa"/>
            <w:tcBorders>
              <w:top w:val="nil"/>
              <w:left w:val="nil"/>
              <w:bottom w:val="single" w:sz="4" w:space="0" w:color="auto"/>
              <w:right w:val="single" w:sz="4" w:space="0" w:color="auto"/>
            </w:tcBorders>
            <w:shd w:val="clear" w:color="F2F2F2" w:fill="FFFFFF"/>
            <w:noWrap/>
            <w:vAlign w:val="bottom"/>
            <w:hideMark/>
          </w:tcPr>
          <w:p w14:paraId="5D0F3A5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310</w:t>
            </w:r>
          </w:p>
        </w:tc>
        <w:tc>
          <w:tcPr>
            <w:tcW w:w="1411" w:type="dxa"/>
            <w:tcBorders>
              <w:top w:val="nil"/>
              <w:left w:val="nil"/>
              <w:bottom w:val="single" w:sz="4" w:space="0" w:color="auto"/>
              <w:right w:val="single" w:sz="4" w:space="0" w:color="auto"/>
            </w:tcBorders>
            <w:shd w:val="clear" w:color="F2F2F2" w:fill="F8CBAD"/>
            <w:noWrap/>
            <w:vAlign w:val="bottom"/>
            <w:hideMark/>
          </w:tcPr>
          <w:p w14:paraId="2C3F17A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-10,14</w:t>
            </w:r>
          </w:p>
        </w:tc>
        <w:tc>
          <w:tcPr>
            <w:tcW w:w="1276" w:type="dxa"/>
            <w:tcBorders>
              <w:top w:val="nil"/>
              <w:left w:val="nil"/>
              <w:bottom w:val="single" w:sz="4" w:space="0" w:color="auto"/>
              <w:right w:val="single" w:sz="4" w:space="0" w:color="auto"/>
            </w:tcBorders>
            <w:shd w:val="clear" w:color="F2F2F2" w:fill="FFE699"/>
            <w:noWrap/>
            <w:vAlign w:val="bottom"/>
            <w:hideMark/>
          </w:tcPr>
          <w:p w14:paraId="0B7ADEA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54,68%</w:t>
            </w:r>
          </w:p>
        </w:tc>
        <w:tc>
          <w:tcPr>
            <w:tcW w:w="1540" w:type="dxa"/>
            <w:tcBorders>
              <w:top w:val="nil"/>
              <w:left w:val="nil"/>
              <w:bottom w:val="single" w:sz="4" w:space="0" w:color="auto"/>
              <w:right w:val="single" w:sz="4" w:space="0" w:color="auto"/>
            </w:tcBorders>
            <w:shd w:val="clear" w:color="000000" w:fill="F8CBAD"/>
            <w:vAlign w:val="center"/>
            <w:hideMark/>
          </w:tcPr>
          <w:p w14:paraId="03BD3C2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7,56</w:t>
            </w:r>
          </w:p>
        </w:tc>
        <w:tc>
          <w:tcPr>
            <w:tcW w:w="1578" w:type="dxa"/>
            <w:tcBorders>
              <w:top w:val="nil"/>
              <w:left w:val="single" w:sz="4" w:space="0" w:color="auto"/>
              <w:bottom w:val="single" w:sz="4" w:space="0" w:color="auto"/>
              <w:right w:val="nil"/>
            </w:tcBorders>
            <w:shd w:val="clear" w:color="000000" w:fill="F8CBAD"/>
            <w:noWrap/>
            <w:vAlign w:val="bottom"/>
            <w:hideMark/>
          </w:tcPr>
          <w:p w14:paraId="0DB8C16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10,97</w:t>
            </w:r>
          </w:p>
        </w:tc>
        <w:tc>
          <w:tcPr>
            <w:tcW w:w="1276" w:type="dxa"/>
            <w:tcBorders>
              <w:top w:val="nil"/>
              <w:left w:val="single" w:sz="4" w:space="0" w:color="auto"/>
              <w:bottom w:val="single" w:sz="4" w:space="0" w:color="auto"/>
              <w:right w:val="single" w:sz="4" w:space="0" w:color="auto"/>
            </w:tcBorders>
            <w:shd w:val="clear" w:color="000000" w:fill="F8CBAD"/>
            <w:vAlign w:val="center"/>
            <w:hideMark/>
          </w:tcPr>
          <w:p w14:paraId="03E0C9E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31,00%</w:t>
            </w:r>
          </w:p>
        </w:tc>
        <w:tc>
          <w:tcPr>
            <w:tcW w:w="1275"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61AED7A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0B93B34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F8CBAD" w:fill="F8CBAD"/>
            <w:noWrap/>
            <w:vAlign w:val="bottom"/>
            <w:hideMark/>
          </w:tcPr>
          <w:p w14:paraId="3C51789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w:t>
            </w:r>
          </w:p>
        </w:tc>
        <w:tc>
          <w:tcPr>
            <w:tcW w:w="992" w:type="dxa"/>
            <w:tcBorders>
              <w:top w:val="nil"/>
              <w:left w:val="nil"/>
              <w:bottom w:val="single" w:sz="4" w:space="0" w:color="auto"/>
              <w:right w:val="single" w:sz="4" w:space="0" w:color="auto"/>
            </w:tcBorders>
            <w:shd w:val="clear" w:color="F2F2F2" w:fill="F8CBAD"/>
            <w:noWrap/>
            <w:vAlign w:val="bottom"/>
            <w:hideMark/>
          </w:tcPr>
          <w:p w14:paraId="1C8B415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29</w:t>
            </w:r>
          </w:p>
        </w:tc>
      </w:tr>
      <w:tr w:rsidR="00917F32" w:rsidRPr="006E6FF5" w14:paraId="620198D6"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09EAF21F"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Osiedle nr 4</w:t>
            </w:r>
          </w:p>
        </w:tc>
        <w:tc>
          <w:tcPr>
            <w:tcW w:w="1134" w:type="dxa"/>
            <w:tcBorders>
              <w:top w:val="nil"/>
              <w:left w:val="nil"/>
              <w:bottom w:val="single" w:sz="4" w:space="0" w:color="auto"/>
              <w:right w:val="single" w:sz="4" w:space="0" w:color="auto"/>
            </w:tcBorders>
            <w:shd w:val="clear" w:color="F2F2F2" w:fill="FFFFFF"/>
            <w:noWrap/>
            <w:vAlign w:val="bottom"/>
            <w:hideMark/>
          </w:tcPr>
          <w:p w14:paraId="1557528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220</w:t>
            </w:r>
          </w:p>
        </w:tc>
        <w:tc>
          <w:tcPr>
            <w:tcW w:w="999" w:type="dxa"/>
            <w:tcBorders>
              <w:top w:val="nil"/>
              <w:left w:val="nil"/>
              <w:bottom w:val="single" w:sz="4" w:space="0" w:color="auto"/>
              <w:right w:val="single" w:sz="4" w:space="0" w:color="auto"/>
            </w:tcBorders>
            <w:shd w:val="clear" w:color="F2F2F2" w:fill="FFFFFF"/>
            <w:noWrap/>
            <w:vAlign w:val="bottom"/>
            <w:hideMark/>
          </w:tcPr>
          <w:p w14:paraId="5206A30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198</w:t>
            </w:r>
          </w:p>
        </w:tc>
        <w:tc>
          <w:tcPr>
            <w:tcW w:w="1411" w:type="dxa"/>
            <w:tcBorders>
              <w:top w:val="nil"/>
              <w:left w:val="nil"/>
              <w:bottom w:val="single" w:sz="4" w:space="0" w:color="auto"/>
              <w:right w:val="single" w:sz="4" w:space="0" w:color="auto"/>
            </w:tcBorders>
            <w:shd w:val="clear" w:color="F2F2F2" w:fill="F8CBAD"/>
            <w:noWrap/>
            <w:vAlign w:val="bottom"/>
            <w:hideMark/>
          </w:tcPr>
          <w:p w14:paraId="63A9C33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-10,00</w:t>
            </w:r>
          </w:p>
        </w:tc>
        <w:tc>
          <w:tcPr>
            <w:tcW w:w="1276" w:type="dxa"/>
            <w:tcBorders>
              <w:top w:val="nil"/>
              <w:left w:val="nil"/>
              <w:bottom w:val="single" w:sz="4" w:space="0" w:color="auto"/>
              <w:right w:val="single" w:sz="4" w:space="0" w:color="auto"/>
            </w:tcBorders>
            <w:shd w:val="clear" w:color="F2F2F2" w:fill="F8CBAD"/>
            <w:noWrap/>
            <w:vAlign w:val="bottom"/>
            <w:hideMark/>
          </w:tcPr>
          <w:p w14:paraId="02B24C1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53,42%</w:t>
            </w:r>
          </w:p>
        </w:tc>
        <w:tc>
          <w:tcPr>
            <w:tcW w:w="1540" w:type="dxa"/>
            <w:tcBorders>
              <w:top w:val="nil"/>
              <w:left w:val="nil"/>
              <w:bottom w:val="single" w:sz="4" w:space="0" w:color="auto"/>
              <w:right w:val="single" w:sz="4" w:space="0" w:color="auto"/>
            </w:tcBorders>
            <w:shd w:val="clear" w:color="000000" w:fill="FFE699"/>
            <w:vAlign w:val="center"/>
            <w:hideMark/>
          </w:tcPr>
          <w:p w14:paraId="0D1D58D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5,67</w:t>
            </w:r>
          </w:p>
        </w:tc>
        <w:tc>
          <w:tcPr>
            <w:tcW w:w="1578" w:type="dxa"/>
            <w:tcBorders>
              <w:top w:val="nil"/>
              <w:left w:val="single" w:sz="4" w:space="0" w:color="auto"/>
              <w:bottom w:val="single" w:sz="4" w:space="0" w:color="auto"/>
              <w:right w:val="nil"/>
            </w:tcBorders>
            <w:shd w:val="clear" w:color="000000" w:fill="F8CBAD"/>
            <w:noWrap/>
            <w:vAlign w:val="bottom"/>
            <w:hideMark/>
          </w:tcPr>
          <w:p w14:paraId="39E6AF3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7,58</w:t>
            </w:r>
          </w:p>
        </w:tc>
        <w:tc>
          <w:tcPr>
            <w:tcW w:w="1276" w:type="dxa"/>
            <w:tcBorders>
              <w:top w:val="nil"/>
              <w:left w:val="single" w:sz="4" w:space="0" w:color="auto"/>
              <w:bottom w:val="single" w:sz="4" w:space="0" w:color="auto"/>
              <w:right w:val="single" w:sz="4" w:space="0" w:color="auto"/>
            </w:tcBorders>
            <w:shd w:val="clear" w:color="000000" w:fill="C6E0B4"/>
            <w:vAlign w:val="center"/>
            <w:hideMark/>
          </w:tcPr>
          <w:p w14:paraId="61DD944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18,20%</w:t>
            </w:r>
          </w:p>
        </w:tc>
        <w:tc>
          <w:tcPr>
            <w:tcW w:w="1275" w:type="dxa"/>
            <w:tcBorders>
              <w:top w:val="single" w:sz="4" w:space="0" w:color="auto"/>
              <w:left w:val="nil"/>
              <w:bottom w:val="single" w:sz="4" w:space="0" w:color="auto"/>
              <w:right w:val="single" w:sz="4" w:space="0" w:color="auto"/>
            </w:tcBorders>
            <w:shd w:val="clear" w:color="F8CBAD" w:fill="F8CBAD"/>
            <w:noWrap/>
            <w:vAlign w:val="bottom"/>
            <w:hideMark/>
          </w:tcPr>
          <w:p w14:paraId="0C8E9CF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5628B7E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7322E7C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nil"/>
              <w:left w:val="nil"/>
              <w:bottom w:val="single" w:sz="4" w:space="0" w:color="auto"/>
              <w:right w:val="single" w:sz="4" w:space="0" w:color="auto"/>
            </w:tcBorders>
            <w:shd w:val="clear" w:color="F2F2F2" w:fill="F8CBAD"/>
            <w:noWrap/>
            <w:vAlign w:val="bottom"/>
            <w:hideMark/>
          </w:tcPr>
          <w:p w14:paraId="1D22FAF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20</w:t>
            </w:r>
          </w:p>
        </w:tc>
      </w:tr>
      <w:tr w:rsidR="00917F32" w:rsidRPr="006E6FF5" w14:paraId="576CFDE9"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725126CD"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Osiedle nr 5</w:t>
            </w:r>
          </w:p>
        </w:tc>
        <w:tc>
          <w:tcPr>
            <w:tcW w:w="1134" w:type="dxa"/>
            <w:tcBorders>
              <w:top w:val="nil"/>
              <w:left w:val="nil"/>
              <w:bottom w:val="single" w:sz="4" w:space="0" w:color="auto"/>
              <w:right w:val="single" w:sz="4" w:space="0" w:color="auto"/>
            </w:tcBorders>
            <w:shd w:val="clear" w:color="F2F2F2" w:fill="FFFFFF"/>
            <w:noWrap/>
            <w:vAlign w:val="bottom"/>
            <w:hideMark/>
          </w:tcPr>
          <w:p w14:paraId="2E4A773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986</w:t>
            </w:r>
          </w:p>
        </w:tc>
        <w:tc>
          <w:tcPr>
            <w:tcW w:w="999" w:type="dxa"/>
            <w:tcBorders>
              <w:top w:val="nil"/>
              <w:left w:val="nil"/>
              <w:bottom w:val="single" w:sz="4" w:space="0" w:color="auto"/>
              <w:right w:val="single" w:sz="4" w:space="0" w:color="auto"/>
            </w:tcBorders>
            <w:shd w:val="clear" w:color="F2F2F2" w:fill="FFFFFF"/>
            <w:noWrap/>
            <w:vAlign w:val="bottom"/>
            <w:hideMark/>
          </w:tcPr>
          <w:p w14:paraId="79CD473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908</w:t>
            </w:r>
          </w:p>
        </w:tc>
        <w:tc>
          <w:tcPr>
            <w:tcW w:w="1411" w:type="dxa"/>
            <w:tcBorders>
              <w:top w:val="nil"/>
              <w:left w:val="nil"/>
              <w:bottom w:val="single" w:sz="4" w:space="0" w:color="auto"/>
              <w:right w:val="single" w:sz="4" w:space="0" w:color="auto"/>
            </w:tcBorders>
            <w:shd w:val="clear" w:color="F2F2F2" w:fill="FFE699"/>
            <w:noWrap/>
            <w:vAlign w:val="bottom"/>
            <w:hideMark/>
          </w:tcPr>
          <w:p w14:paraId="5332AE1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-7,94</w:t>
            </w:r>
          </w:p>
        </w:tc>
        <w:tc>
          <w:tcPr>
            <w:tcW w:w="1276" w:type="dxa"/>
            <w:tcBorders>
              <w:top w:val="nil"/>
              <w:left w:val="nil"/>
              <w:bottom w:val="single" w:sz="4" w:space="0" w:color="auto"/>
              <w:right w:val="single" w:sz="4" w:space="0" w:color="auto"/>
            </w:tcBorders>
            <w:shd w:val="clear" w:color="F2F2F2" w:fill="F8CBAD"/>
            <w:noWrap/>
            <w:vAlign w:val="bottom"/>
            <w:hideMark/>
          </w:tcPr>
          <w:p w14:paraId="5A4DE51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56,63%</w:t>
            </w:r>
          </w:p>
        </w:tc>
        <w:tc>
          <w:tcPr>
            <w:tcW w:w="1540" w:type="dxa"/>
            <w:tcBorders>
              <w:top w:val="nil"/>
              <w:left w:val="nil"/>
              <w:bottom w:val="single" w:sz="4" w:space="0" w:color="auto"/>
              <w:right w:val="single" w:sz="4" w:space="0" w:color="auto"/>
            </w:tcBorders>
            <w:shd w:val="clear" w:color="000000" w:fill="C6E0B4"/>
            <w:vAlign w:val="center"/>
            <w:hideMark/>
          </w:tcPr>
          <w:p w14:paraId="795ADF1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1,89</w:t>
            </w:r>
          </w:p>
        </w:tc>
        <w:tc>
          <w:tcPr>
            <w:tcW w:w="1578" w:type="dxa"/>
            <w:tcBorders>
              <w:top w:val="nil"/>
              <w:left w:val="single" w:sz="4" w:space="0" w:color="auto"/>
              <w:bottom w:val="single" w:sz="4" w:space="0" w:color="auto"/>
              <w:right w:val="nil"/>
            </w:tcBorders>
            <w:shd w:val="clear" w:color="000000" w:fill="C6E0B4"/>
            <w:noWrap/>
            <w:vAlign w:val="bottom"/>
            <w:hideMark/>
          </w:tcPr>
          <w:p w14:paraId="2E2EAFC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2,64</w:t>
            </w:r>
          </w:p>
        </w:tc>
        <w:tc>
          <w:tcPr>
            <w:tcW w:w="1276" w:type="dxa"/>
            <w:tcBorders>
              <w:top w:val="nil"/>
              <w:left w:val="single" w:sz="4" w:space="0" w:color="auto"/>
              <w:bottom w:val="single" w:sz="4" w:space="0" w:color="auto"/>
              <w:right w:val="single" w:sz="4" w:space="0" w:color="auto"/>
            </w:tcBorders>
            <w:shd w:val="clear" w:color="000000" w:fill="F8CBAD"/>
            <w:vAlign w:val="center"/>
            <w:hideMark/>
          </w:tcPr>
          <w:p w14:paraId="501B624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26,80%</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597167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F8CBAD" w:fill="F8CBAD"/>
            <w:noWrap/>
            <w:vAlign w:val="bottom"/>
            <w:hideMark/>
          </w:tcPr>
          <w:p w14:paraId="50459BA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19727B3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nil"/>
              <w:left w:val="nil"/>
              <w:bottom w:val="single" w:sz="4" w:space="0" w:color="auto"/>
              <w:right w:val="single" w:sz="4" w:space="0" w:color="auto"/>
            </w:tcBorders>
            <w:shd w:val="clear" w:color="F2F2F2" w:fill="F8CBAD"/>
            <w:noWrap/>
            <w:vAlign w:val="bottom"/>
            <w:hideMark/>
          </w:tcPr>
          <w:p w14:paraId="57EDC35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17</w:t>
            </w:r>
          </w:p>
        </w:tc>
      </w:tr>
      <w:tr w:rsidR="00917F32" w:rsidRPr="006E6FF5" w14:paraId="507FB9DE" w14:textId="77777777" w:rsidTr="00E6158F">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0B55AACA"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Osiedle nr 6</w:t>
            </w:r>
          </w:p>
        </w:tc>
        <w:tc>
          <w:tcPr>
            <w:tcW w:w="1134" w:type="dxa"/>
            <w:tcBorders>
              <w:top w:val="nil"/>
              <w:left w:val="nil"/>
              <w:bottom w:val="single" w:sz="4" w:space="0" w:color="auto"/>
              <w:right w:val="single" w:sz="4" w:space="0" w:color="auto"/>
            </w:tcBorders>
            <w:shd w:val="clear" w:color="F2F2F2" w:fill="FFFFFF"/>
            <w:noWrap/>
            <w:vAlign w:val="bottom"/>
            <w:hideMark/>
          </w:tcPr>
          <w:p w14:paraId="7085C45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344</w:t>
            </w:r>
          </w:p>
        </w:tc>
        <w:tc>
          <w:tcPr>
            <w:tcW w:w="999" w:type="dxa"/>
            <w:tcBorders>
              <w:top w:val="nil"/>
              <w:left w:val="nil"/>
              <w:bottom w:val="single" w:sz="4" w:space="0" w:color="auto"/>
              <w:right w:val="single" w:sz="4" w:space="0" w:color="auto"/>
            </w:tcBorders>
            <w:shd w:val="clear" w:color="F2F2F2" w:fill="FFFFFF"/>
            <w:noWrap/>
            <w:vAlign w:val="bottom"/>
            <w:hideMark/>
          </w:tcPr>
          <w:p w14:paraId="56CB6B2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313</w:t>
            </w:r>
          </w:p>
        </w:tc>
        <w:tc>
          <w:tcPr>
            <w:tcW w:w="1411" w:type="dxa"/>
            <w:tcBorders>
              <w:top w:val="nil"/>
              <w:left w:val="nil"/>
              <w:bottom w:val="single" w:sz="4" w:space="0" w:color="auto"/>
              <w:right w:val="single" w:sz="4" w:space="0" w:color="auto"/>
            </w:tcBorders>
            <w:shd w:val="clear" w:color="F2F2F2" w:fill="F8CBAD"/>
            <w:noWrap/>
            <w:vAlign w:val="bottom"/>
            <w:hideMark/>
          </w:tcPr>
          <w:p w14:paraId="54DB37C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-9,01</w:t>
            </w:r>
          </w:p>
        </w:tc>
        <w:tc>
          <w:tcPr>
            <w:tcW w:w="1276" w:type="dxa"/>
            <w:tcBorders>
              <w:top w:val="nil"/>
              <w:left w:val="nil"/>
              <w:bottom w:val="single" w:sz="4" w:space="0" w:color="auto"/>
              <w:right w:val="single" w:sz="4" w:space="0" w:color="auto"/>
            </w:tcBorders>
            <w:shd w:val="clear" w:color="F2F2F2" w:fill="F8CBAD"/>
            <w:noWrap/>
            <w:vAlign w:val="bottom"/>
            <w:hideMark/>
          </w:tcPr>
          <w:p w14:paraId="78F86B8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53,42%</w:t>
            </w:r>
          </w:p>
        </w:tc>
        <w:tc>
          <w:tcPr>
            <w:tcW w:w="1540" w:type="dxa"/>
            <w:tcBorders>
              <w:top w:val="nil"/>
              <w:left w:val="nil"/>
              <w:bottom w:val="single" w:sz="4" w:space="0" w:color="auto"/>
              <w:right w:val="single" w:sz="4" w:space="0" w:color="auto"/>
            </w:tcBorders>
            <w:shd w:val="clear" w:color="000000" w:fill="C6E0B4"/>
            <w:vAlign w:val="center"/>
            <w:hideMark/>
          </w:tcPr>
          <w:p w14:paraId="6D41A20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3,78</w:t>
            </w:r>
          </w:p>
        </w:tc>
        <w:tc>
          <w:tcPr>
            <w:tcW w:w="1578" w:type="dxa"/>
            <w:tcBorders>
              <w:top w:val="nil"/>
              <w:left w:val="single" w:sz="4" w:space="0" w:color="auto"/>
              <w:bottom w:val="single" w:sz="4" w:space="0" w:color="auto"/>
              <w:right w:val="nil"/>
            </w:tcBorders>
            <w:shd w:val="clear" w:color="000000" w:fill="C6E0B4"/>
            <w:noWrap/>
            <w:vAlign w:val="bottom"/>
            <w:hideMark/>
          </w:tcPr>
          <w:p w14:paraId="09F3041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0,64</w:t>
            </w:r>
          </w:p>
        </w:tc>
        <w:tc>
          <w:tcPr>
            <w:tcW w:w="1276" w:type="dxa"/>
            <w:tcBorders>
              <w:top w:val="nil"/>
              <w:left w:val="single" w:sz="4" w:space="0" w:color="auto"/>
              <w:bottom w:val="single" w:sz="4" w:space="0" w:color="auto"/>
              <w:right w:val="single" w:sz="4" w:space="0" w:color="auto"/>
            </w:tcBorders>
            <w:shd w:val="clear" w:color="000000" w:fill="C6E0B4"/>
            <w:vAlign w:val="center"/>
            <w:hideMark/>
          </w:tcPr>
          <w:p w14:paraId="4AF012A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18,20%</w:t>
            </w:r>
          </w:p>
        </w:tc>
        <w:tc>
          <w:tcPr>
            <w:tcW w:w="1275" w:type="dxa"/>
            <w:tcBorders>
              <w:top w:val="single" w:sz="4" w:space="0" w:color="auto"/>
              <w:left w:val="nil"/>
              <w:bottom w:val="single" w:sz="4" w:space="0" w:color="auto"/>
              <w:right w:val="single" w:sz="4" w:space="0" w:color="auto"/>
            </w:tcBorders>
            <w:shd w:val="clear" w:color="FFEB9C" w:fill="FFEB9C"/>
            <w:noWrap/>
            <w:vAlign w:val="bottom"/>
            <w:hideMark/>
          </w:tcPr>
          <w:p w14:paraId="7708BB5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2508635C" w14:textId="10CADA8A" w:rsidR="006E6FF5" w:rsidRPr="006E6FF5" w:rsidRDefault="00E6158F" w:rsidP="006E6FF5">
            <w:pPr>
              <w:suppressAutoHyphens w:val="0"/>
              <w:autoSpaceDN/>
              <w:spacing w:after="0"/>
              <w:jc w:val="right"/>
              <w:textAlignment w:val="auto"/>
              <w:rPr>
                <w:rFonts w:eastAsia="Times New Roman" w:cs="Calibri"/>
                <w:color w:val="000000"/>
                <w:sz w:val="20"/>
                <w:szCs w:val="20"/>
                <w:lang w:eastAsia="pl-PL"/>
              </w:rPr>
            </w:pPr>
            <w:r>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4DD8770B" w14:textId="03BEEF64" w:rsidR="006E6FF5" w:rsidRPr="006E6FF5" w:rsidRDefault="00E6158F" w:rsidP="006E6FF5">
            <w:pPr>
              <w:suppressAutoHyphens w:val="0"/>
              <w:autoSpaceDN/>
              <w:spacing w:after="0"/>
              <w:jc w:val="right"/>
              <w:textAlignment w:val="auto"/>
              <w:rPr>
                <w:rFonts w:eastAsia="Times New Roman" w:cs="Calibri"/>
                <w:color w:val="000000"/>
                <w:sz w:val="20"/>
                <w:szCs w:val="20"/>
                <w:lang w:eastAsia="pl-PL"/>
              </w:rPr>
            </w:pPr>
            <w:r>
              <w:rPr>
                <w:rFonts w:eastAsia="Times New Roman" w:cs="Calibri"/>
                <w:color w:val="000000"/>
                <w:sz w:val="20"/>
                <w:szCs w:val="20"/>
                <w:lang w:eastAsia="pl-PL"/>
              </w:rPr>
              <w:t>2</w:t>
            </w:r>
          </w:p>
        </w:tc>
        <w:tc>
          <w:tcPr>
            <w:tcW w:w="992" w:type="dxa"/>
            <w:tcBorders>
              <w:top w:val="nil"/>
              <w:left w:val="nil"/>
              <w:bottom w:val="single" w:sz="4" w:space="0" w:color="auto"/>
              <w:right w:val="single" w:sz="4" w:space="0" w:color="auto"/>
            </w:tcBorders>
            <w:shd w:val="clear" w:color="auto" w:fill="F7CAAC" w:themeFill="accent2" w:themeFillTint="66"/>
            <w:noWrap/>
            <w:vAlign w:val="bottom"/>
            <w:hideMark/>
          </w:tcPr>
          <w:p w14:paraId="045BCACC" w14:textId="697B39DC"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r w:rsidR="00E6158F">
              <w:rPr>
                <w:rFonts w:eastAsia="Times New Roman" w:cs="Calibri"/>
                <w:color w:val="000000"/>
                <w:sz w:val="20"/>
                <w:szCs w:val="20"/>
                <w:lang w:eastAsia="pl-PL"/>
              </w:rPr>
              <w:t>6</w:t>
            </w:r>
          </w:p>
        </w:tc>
      </w:tr>
      <w:tr w:rsidR="00917F32" w:rsidRPr="006E6FF5" w14:paraId="771F77DB"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4F0A579C"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Bielice</w:t>
            </w:r>
          </w:p>
        </w:tc>
        <w:tc>
          <w:tcPr>
            <w:tcW w:w="1134" w:type="dxa"/>
            <w:tcBorders>
              <w:top w:val="nil"/>
              <w:left w:val="nil"/>
              <w:bottom w:val="single" w:sz="4" w:space="0" w:color="auto"/>
              <w:right w:val="single" w:sz="4" w:space="0" w:color="auto"/>
            </w:tcBorders>
            <w:shd w:val="clear" w:color="F2F2F2" w:fill="FFFFFF"/>
            <w:noWrap/>
            <w:vAlign w:val="bottom"/>
            <w:hideMark/>
          </w:tcPr>
          <w:p w14:paraId="5ACFCCF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173</w:t>
            </w:r>
          </w:p>
        </w:tc>
        <w:tc>
          <w:tcPr>
            <w:tcW w:w="999" w:type="dxa"/>
            <w:tcBorders>
              <w:top w:val="nil"/>
              <w:left w:val="nil"/>
              <w:bottom w:val="single" w:sz="4" w:space="0" w:color="auto"/>
              <w:right w:val="single" w:sz="4" w:space="0" w:color="auto"/>
            </w:tcBorders>
            <w:shd w:val="clear" w:color="F2F2F2" w:fill="FFFFFF"/>
            <w:noWrap/>
            <w:vAlign w:val="bottom"/>
            <w:hideMark/>
          </w:tcPr>
          <w:p w14:paraId="70F7230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170</w:t>
            </w:r>
          </w:p>
        </w:tc>
        <w:tc>
          <w:tcPr>
            <w:tcW w:w="1411" w:type="dxa"/>
            <w:tcBorders>
              <w:top w:val="nil"/>
              <w:left w:val="nil"/>
              <w:bottom w:val="single" w:sz="4" w:space="0" w:color="auto"/>
              <w:right w:val="single" w:sz="4" w:space="0" w:color="auto"/>
            </w:tcBorders>
            <w:shd w:val="clear" w:color="F2F2F2" w:fill="C6E0B4"/>
            <w:noWrap/>
            <w:vAlign w:val="bottom"/>
            <w:hideMark/>
          </w:tcPr>
          <w:p w14:paraId="5406C03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-1,73</w:t>
            </w:r>
          </w:p>
        </w:tc>
        <w:tc>
          <w:tcPr>
            <w:tcW w:w="1276" w:type="dxa"/>
            <w:tcBorders>
              <w:top w:val="nil"/>
              <w:left w:val="nil"/>
              <w:bottom w:val="single" w:sz="4" w:space="0" w:color="auto"/>
              <w:right w:val="single" w:sz="4" w:space="0" w:color="auto"/>
            </w:tcBorders>
            <w:shd w:val="clear" w:color="F2F2F2" w:fill="F8CBAD"/>
            <w:noWrap/>
            <w:vAlign w:val="bottom"/>
            <w:hideMark/>
          </w:tcPr>
          <w:p w14:paraId="2208081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51,06%</w:t>
            </w:r>
          </w:p>
        </w:tc>
        <w:tc>
          <w:tcPr>
            <w:tcW w:w="1540" w:type="dxa"/>
            <w:tcBorders>
              <w:top w:val="nil"/>
              <w:left w:val="nil"/>
              <w:bottom w:val="single" w:sz="4" w:space="0" w:color="auto"/>
              <w:right w:val="single" w:sz="4" w:space="0" w:color="auto"/>
            </w:tcBorders>
            <w:shd w:val="clear" w:color="000000" w:fill="C6E0B4"/>
            <w:vAlign w:val="center"/>
            <w:hideMark/>
          </w:tcPr>
          <w:p w14:paraId="292C4B7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1,89</w:t>
            </w:r>
          </w:p>
        </w:tc>
        <w:tc>
          <w:tcPr>
            <w:tcW w:w="1578" w:type="dxa"/>
            <w:tcBorders>
              <w:top w:val="nil"/>
              <w:left w:val="single" w:sz="4" w:space="0" w:color="auto"/>
              <w:bottom w:val="single" w:sz="4" w:space="0" w:color="auto"/>
              <w:right w:val="nil"/>
            </w:tcBorders>
            <w:shd w:val="clear" w:color="000000" w:fill="C6E0B4"/>
            <w:noWrap/>
            <w:vAlign w:val="bottom"/>
            <w:hideMark/>
          </w:tcPr>
          <w:p w14:paraId="235771D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nil"/>
              <w:left w:val="single" w:sz="4" w:space="0" w:color="auto"/>
              <w:bottom w:val="single" w:sz="4" w:space="0" w:color="auto"/>
              <w:right w:val="single" w:sz="4" w:space="0" w:color="auto"/>
            </w:tcBorders>
            <w:shd w:val="clear" w:color="000000" w:fill="C6E0B4"/>
            <w:vAlign w:val="center"/>
            <w:hideMark/>
          </w:tcPr>
          <w:p w14:paraId="6CB710A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18,20%</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605F44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6D7981D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6976EF7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nil"/>
              <w:left w:val="nil"/>
              <w:bottom w:val="single" w:sz="4" w:space="0" w:color="auto"/>
              <w:right w:val="single" w:sz="4" w:space="0" w:color="auto"/>
            </w:tcBorders>
            <w:shd w:val="clear" w:color="F2F2F2" w:fill="C6E0B4"/>
            <w:noWrap/>
            <w:vAlign w:val="bottom"/>
            <w:hideMark/>
          </w:tcPr>
          <w:p w14:paraId="12CDAAD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w:t>
            </w:r>
          </w:p>
        </w:tc>
      </w:tr>
      <w:tr w:rsidR="00917F32" w:rsidRPr="006E6FF5" w14:paraId="18C4CAEC"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0D45FB88"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Franki</w:t>
            </w:r>
          </w:p>
        </w:tc>
        <w:tc>
          <w:tcPr>
            <w:tcW w:w="1134" w:type="dxa"/>
            <w:tcBorders>
              <w:top w:val="nil"/>
              <w:left w:val="nil"/>
              <w:bottom w:val="single" w:sz="4" w:space="0" w:color="auto"/>
              <w:right w:val="single" w:sz="4" w:space="0" w:color="auto"/>
            </w:tcBorders>
            <w:shd w:val="clear" w:color="F2F2F2" w:fill="FFFFFF"/>
            <w:noWrap/>
            <w:vAlign w:val="bottom"/>
            <w:hideMark/>
          </w:tcPr>
          <w:p w14:paraId="50CF445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48</w:t>
            </w:r>
          </w:p>
        </w:tc>
        <w:tc>
          <w:tcPr>
            <w:tcW w:w="999" w:type="dxa"/>
            <w:tcBorders>
              <w:top w:val="nil"/>
              <w:left w:val="nil"/>
              <w:bottom w:val="single" w:sz="4" w:space="0" w:color="auto"/>
              <w:right w:val="single" w:sz="4" w:space="0" w:color="auto"/>
            </w:tcBorders>
            <w:shd w:val="clear" w:color="F2F2F2" w:fill="FFFFFF"/>
            <w:noWrap/>
            <w:vAlign w:val="bottom"/>
            <w:hideMark/>
          </w:tcPr>
          <w:p w14:paraId="3A7D460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30</w:t>
            </w:r>
          </w:p>
        </w:tc>
        <w:tc>
          <w:tcPr>
            <w:tcW w:w="1411" w:type="dxa"/>
            <w:tcBorders>
              <w:top w:val="nil"/>
              <w:left w:val="nil"/>
              <w:bottom w:val="single" w:sz="4" w:space="0" w:color="auto"/>
              <w:right w:val="single" w:sz="4" w:space="0" w:color="auto"/>
            </w:tcBorders>
            <w:shd w:val="clear" w:color="F2F2F2" w:fill="F8CBAD"/>
            <w:noWrap/>
            <w:vAlign w:val="bottom"/>
            <w:hideMark/>
          </w:tcPr>
          <w:p w14:paraId="72F32EA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-37,50</w:t>
            </w:r>
          </w:p>
        </w:tc>
        <w:tc>
          <w:tcPr>
            <w:tcW w:w="1276" w:type="dxa"/>
            <w:tcBorders>
              <w:top w:val="nil"/>
              <w:left w:val="nil"/>
              <w:bottom w:val="single" w:sz="4" w:space="0" w:color="auto"/>
              <w:right w:val="single" w:sz="4" w:space="0" w:color="auto"/>
            </w:tcBorders>
            <w:shd w:val="clear" w:color="F2F2F2" w:fill="C6E0B4"/>
            <w:noWrap/>
            <w:vAlign w:val="bottom"/>
            <w:hideMark/>
          </w:tcPr>
          <w:p w14:paraId="7652003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57,21%</w:t>
            </w:r>
          </w:p>
        </w:tc>
        <w:tc>
          <w:tcPr>
            <w:tcW w:w="1540" w:type="dxa"/>
            <w:tcBorders>
              <w:top w:val="nil"/>
              <w:left w:val="nil"/>
              <w:bottom w:val="single" w:sz="4" w:space="0" w:color="auto"/>
              <w:right w:val="single" w:sz="4" w:space="0" w:color="auto"/>
            </w:tcBorders>
            <w:shd w:val="clear" w:color="000000" w:fill="C6E0B4"/>
            <w:vAlign w:val="center"/>
            <w:hideMark/>
          </w:tcPr>
          <w:p w14:paraId="42DFB49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1,89</w:t>
            </w:r>
          </w:p>
        </w:tc>
        <w:tc>
          <w:tcPr>
            <w:tcW w:w="1578" w:type="dxa"/>
            <w:tcBorders>
              <w:top w:val="nil"/>
              <w:left w:val="single" w:sz="4" w:space="0" w:color="auto"/>
              <w:bottom w:val="single" w:sz="4" w:space="0" w:color="auto"/>
              <w:right w:val="nil"/>
            </w:tcBorders>
            <w:shd w:val="clear" w:color="000000" w:fill="F8CBAD"/>
            <w:noWrap/>
            <w:vAlign w:val="bottom"/>
            <w:hideMark/>
          </w:tcPr>
          <w:p w14:paraId="1B1F167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6,67</w:t>
            </w:r>
          </w:p>
        </w:tc>
        <w:tc>
          <w:tcPr>
            <w:tcW w:w="1276" w:type="dxa"/>
            <w:tcBorders>
              <w:top w:val="nil"/>
              <w:left w:val="single" w:sz="4" w:space="0" w:color="auto"/>
              <w:bottom w:val="single" w:sz="4" w:space="0" w:color="auto"/>
              <w:right w:val="single" w:sz="4" w:space="0" w:color="auto"/>
            </w:tcBorders>
            <w:shd w:val="clear" w:color="000000" w:fill="C6E0B4"/>
            <w:vAlign w:val="center"/>
            <w:hideMark/>
          </w:tcPr>
          <w:p w14:paraId="12AE7DE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16,70%</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B2094C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BF8874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86AD21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nil"/>
              <w:left w:val="nil"/>
              <w:bottom w:val="single" w:sz="4" w:space="0" w:color="auto"/>
              <w:right w:val="single" w:sz="4" w:space="0" w:color="auto"/>
            </w:tcBorders>
            <w:shd w:val="clear" w:color="F2F2F2" w:fill="FFE699"/>
            <w:noWrap/>
            <w:vAlign w:val="bottom"/>
            <w:hideMark/>
          </w:tcPr>
          <w:p w14:paraId="450981C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13</w:t>
            </w:r>
          </w:p>
        </w:tc>
      </w:tr>
      <w:tr w:rsidR="00917F32" w:rsidRPr="006E6FF5" w14:paraId="6A06E558"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50A97D79"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Jankowice</w:t>
            </w:r>
          </w:p>
        </w:tc>
        <w:tc>
          <w:tcPr>
            <w:tcW w:w="1134" w:type="dxa"/>
            <w:tcBorders>
              <w:top w:val="nil"/>
              <w:left w:val="nil"/>
              <w:bottom w:val="single" w:sz="4" w:space="0" w:color="auto"/>
              <w:right w:val="single" w:sz="4" w:space="0" w:color="auto"/>
            </w:tcBorders>
            <w:shd w:val="clear" w:color="F2F2F2" w:fill="FFFFFF"/>
            <w:noWrap/>
            <w:vAlign w:val="bottom"/>
            <w:hideMark/>
          </w:tcPr>
          <w:p w14:paraId="113F7E9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361</w:t>
            </w:r>
          </w:p>
        </w:tc>
        <w:tc>
          <w:tcPr>
            <w:tcW w:w="999" w:type="dxa"/>
            <w:tcBorders>
              <w:top w:val="nil"/>
              <w:left w:val="nil"/>
              <w:bottom w:val="single" w:sz="4" w:space="0" w:color="auto"/>
              <w:right w:val="single" w:sz="4" w:space="0" w:color="auto"/>
            </w:tcBorders>
            <w:shd w:val="clear" w:color="F2F2F2" w:fill="FFFFFF"/>
            <w:noWrap/>
            <w:vAlign w:val="bottom"/>
            <w:hideMark/>
          </w:tcPr>
          <w:p w14:paraId="4BE78B4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345</w:t>
            </w:r>
          </w:p>
        </w:tc>
        <w:tc>
          <w:tcPr>
            <w:tcW w:w="1411" w:type="dxa"/>
            <w:tcBorders>
              <w:top w:val="nil"/>
              <w:left w:val="nil"/>
              <w:bottom w:val="single" w:sz="4" w:space="0" w:color="auto"/>
              <w:right w:val="single" w:sz="4" w:space="0" w:color="auto"/>
            </w:tcBorders>
            <w:shd w:val="clear" w:color="F2F2F2" w:fill="C6E0B4"/>
            <w:noWrap/>
            <w:vAlign w:val="bottom"/>
            <w:hideMark/>
          </w:tcPr>
          <w:p w14:paraId="0CD7977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-4,43</w:t>
            </w:r>
          </w:p>
        </w:tc>
        <w:tc>
          <w:tcPr>
            <w:tcW w:w="1276" w:type="dxa"/>
            <w:tcBorders>
              <w:top w:val="nil"/>
              <w:left w:val="nil"/>
              <w:bottom w:val="single" w:sz="4" w:space="0" w:color="auto"/>
              <w:right w:val="single" w:sz="4" w:space="0" w:color="auto"/>
            </w:tcBorders>
            <w:shd w:val="clear" w:color="F2F2F2" w:fill="C6E0B4"/>
            <w:noWrap/>
            <w:vAlign w:val="bottom"/>
            <w:hideMark/>
          </w:tcPr>
          <w:p w14:paraId="45D9595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57,21%</w:t>
            </w:r>
          </w:p>
        </w:tc>
        <w:tc>
          <w:tcPr>
            <w:tcW w:w="1540" w:type="dxa"/>
            <w:tcBorders>
              <w:top w:val="nil"/>
              <w:left w:val="nil"/>
              <w:bottom w:val="single" w:sz="4" w:space="0" w:color="auto"/>
              <w:right w:val="single" w:sz="4" w:space="0" w:color="auto"/>
            </w:tcBorders>
            <w:shd w:val="clear" w:color="000000" w:fill="C6E0B4"/>
            <w:vAlign w:val="center"/>
            <w:hideMark/>
          </w:tcPr>
          <w:p w14:paraId="3E45142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1,89</w:t>
            </w:r>
          </w:p>
        </w:tc>
        <w:tc>
          <w:tcPr>
            <w:tcW w:w="1578" w:type="dxa"/>
            <w:tcBorders>
              <w:top w:val="nil"/>
              <w:left w:val="single" w:sz="4" w:space="0" w:color="auto"/>
              <w:bottom w:val="single" w:sz="4" w:space="0" w:color="auto"/>
              <w:right w:val="nil"/>
            </w:tcBorders>
            <w:shd w:val="clear" w:color="000000" w:fill="F8CBAD"/>
            <w:noWrap/>
            <w:vAlign w:val="bottom"/>
            <w:hideMark/>
          </w:tcPr>
          <w:p w14:paraId="7B23FDA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6,67</w:t>
            </w:r>
          </w:p>
        </w:tc>
        <w:tc>
          <w:tcPr>
            <w:tcW w:w="1276" w:type="dxa"/>
            <w:tcBorders>
              <w:top w:val="nil"/>
              <w:left w:val="single" w:sz="4" w:space="0" w:color="auto"/>
              <w:bottom w:val="single" w:sz="4" w:space="0" w:color="auto"/>
              <w:right w:val="single" w:sz="4" w:space="0" w:color="auto"/>
            </w:tcBorders>
            <w:shd w:val="clear" w:color="000000" w:fill="C6E0B4"/>
            <w:vAlign w:val="center"/>
            <w:hideMark/>
          </w:tcPr>
          <w:p w14:paraId="2EC7D54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22,60%</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34EC3C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FFEB9C" w:fill="FFEB9C"/>
            <w:noWrap/>
            <w:vAlign w:val="bottom"/>
            <w:hideMark/>
          </w:tcPr>
          <w:p w14:paraId="3FB8F30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550D9B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nil"/>
              <w:left w:val="nil"/>
              <w:bottom w:val="single" w:sz="4" w:space="0" w:color="auto"/>
              <w:right w:val="single" w:sz="4" w:space="0" w:color="auto"/>
            </w:tcBorders>
            <w:shd w:val="clear" w:color="F2F2F2" w:fill="FFE699"/>
            <w:noWrap/>
            <w:vAlign w:val="bottom"/>
            <w:hideMark/>
          </w:tcPr>
          <w:p w14:paraId="79BD30D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11</w:t>
            </w:r>
          </w:p>
        </w:tc>
      </w:tr>
      <w:tr w:rsidR="00917F32" w:rsidRPr="006E6FF5" w14:paraId="186BC08A" w14:textId="77777777" w:rsidTr="00917F32">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259940F4"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Kajew</w:t>
            </w:r>
          </w:p>
        </w:tc>
        <w:tc>
          <w:tcPr>
            <w:tcW w:w="1134" w:type="dxa"/>
            <w:tcBorders>
              <w:top w:val="nil"/>
              <w:left w:val="nil"/>
              <w:bottom w:val="single" w:sz="4" w:space="0" w:color="auto"/>
              <w:right w:val="single" w:sz="4" w:space="0" w:color="auto"/>
            </w:tcBorders>
            <w:shd w:val="clear" w:color="F2F2F2" w:fill="FFFFFF"/>
            <w:noWrap/>
            <w:vAlign w:val="bottom"/>
            <w:hideMark/>
          </w:tcPr>
          <w:p w14:paraId="035D9E4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424</w:t>
            </w:r>
          </w:p>
        </w:tc>
        <w:tc>
          <w:tcPr>
            <w:tcW w:w="999" w:type="dxa"/>
            <w:tcBorders>
              <w:top w:val="nil"/>
              <w:left w:val="nil"/>
              <w:bottom w:val="single" w:sz="4" w:space="0" w:color="auto"/>
              <w:right w:val="single" w:sz="4" w:space="0" w:color="auto"/>
            </w:tcBorders>
            <w:shd w:val="clear" w:color="F2F2F2" w:fill="FFFFFF"/>
            <w:noWrap/>
            <w:vAlign w:val="bottom"/>
            <w:hideMark/>
          </w:tcPr>
          <w:p w14:paraId="398D777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408</w:t>
            </w:r>
          </w:p>
        </w:tc>
        <w:tc>
          <w:tcPr>
            <w:tcW w:w="1411" w:type="dxa"/>
            <w:tcBorders>
              <w:top w:val="nil"/>
              <w:left w:val="nil"/>
              <w:bottom w:val="single" w:sz="4" w:space="0" w:color="auto"/>
              <w:right w:val="single" w:sz="4" w:space="0" w:color="auto"/>
            </w:tcBorders>
            <w:shd w:val="clear" w:color="F2F2F2" w:fill="C6E0B4"/>
            <w:noWrap/>
            <w:vAlign w:val="bottom"/>
            <w:hideMark/>
          </w:tcPr>
          <w:p w14:paraId="032BCA4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-3,77</w:t>
            </w:r>
          </w:p>
        </w:tc>
        <w:tc>
          <w:tcPr>
            <w:tcW w:w="1276" w:type="dxa"/>
            <w:tcBorders>
              <w:top w:val="nil"/>
              <w:left w:val="nil"/>
              <w:bottom w:val="single" w:sz="4" w:space="0" w:color="auto"/>
              <w:right w:val="single" w:sz="4" w:space="0" w:color="auto"/>
            </w:tcBorders>
            <w:shd w:val="clear" w:color="F2F2F2" w:fill="FFE699"/>
            <w:noWrap/>
            <w:vAlign w:val="bottom"/>
            <w:hideMark/>
          </w:tcPr>
          <w:p w14:paraId="41FB96F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55,10%</w:t>
            </w:r>
          </w:p>
        </w:tc>
        <w:tc>
          <w:tcPr>
            <w:tcW w:w="1540" w:type="dxa"/>
            <w:tcBorders>
              <w:top w:val="nil"/>
              <w:left w:val="nil"/>
              <w:bottom w:val="single" w:sz="4" w:space="0" w:color="auto"/>
              <w:right w:val="single" w:sz="4" w:space="0" w:color="auto"/>
            </w:tcBorders>
            <w:shd w:val="clear" w:color="000000" w:fill="FFE699"/>
            <w:vAlign w:val="center"/>
            <w:hideMark/>
          </w:tcPr>
          <w:p w14:paraId="6BDAD8F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5,67</w:t>
            </w:r>
          </w:p>
        </w:tc>
        <w:tc>
          <w:tcPr>
            <w:tcW w:w="1578" w:type="dxa"/>
            <w:tcBorders>
              <w:top w:val="nil"/>
              <w:left w:val="single" w:sz="4" w:space="0" w:color="auto"/>
              <w:bottom w:val="single" w:sz="4" w:space="0" w:color="auto"/>
              <w:right w:val="nil"/>
            </w:tcBorders>
            <w:shd w:val="clear" w:color="000000" w:fill="C6E0B4"/>
            <w:noWrap/>
            <w:vAlign w:val="bottom"/>
            <w:hideMark/>
          </w:tcPr>
          <w:p w14:paraId="45C29A2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nil"/>
              <w:left w:val="single" w:sz="4" w:space="0" w:color="auto"/>
              <w:bottom w:val="single" w:sz="4" w:space="0" w:color="auto"/>
              <w:right w:val="single" w:sz="4" w:space="0" w:color="auto"/>
            </w:tcBorders>
            <w:shd w:val="clear" w:color="000000" w:fill="F8CBAD"/>
            <w:vAlign w:val="center"/>
            <w:hideMark/>
          </w:tcPr>
          <w:p w14:paraId="559FBD8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26,70%</w:t>
            </w:r>
          </w:p>
        </w:tc>
        <w:tc>
          <w:tcPr>
            <w:tcW w:w="1275" w:type="dxa"/>
            <w:tcBorders>
              <w:top w:val="single" w:sz="4" w:space="0" w:color="auto"/>
              <w:left w:val="nil"/>
              <w:bottom w:val="single" w:sz="4" w:space="0" w:color="auto"/>
              <w:right w:val="single" w:sz="4" w:space="0" w:color="auto"/>
            </w:tcBorders>
            <w:shd w:val="clear" w:color="F8CBAD" w:fill="F8CBAD"/>
            <w:noWrap/>
            <w:vAlign w:val="bottom"/>
            <w:hideMark/>
          </w:tcPr>
          <w:p w14:paraId="6C36C03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w:t>
            </w:r>
          </w:p>
        </w:tc>
        <w:tc>
          <w:tcPr>
            <w:tcW w:w="1276" w:type="dxa"/>
            <w:tcBorders>
              <w:top w:val="single" w:sz="4" w:space="0" w:color="auto"/>
              <w:left w:val="single" w:sz="4" w:space="0" w:color="auto"/>
              <w:bottom w:val="single" w:sz="4" w:space="0" w:color="auto"/>
              <w:right w:val="single" w:sz="4" w:space="0" w:color="auto"/>
            </w:tcBorders>
            <w:shd w:val="clear" w:color="F8CBAD" w:fill="F8CBAD"/>
            <w:noWrap/>
            <w:vAlign w:val="bottom"/>
            <w:hideMark/>
          </w:tcPr>
          <w:p w14:paraId="0B7874C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w:t>
            </w:r>
          </w:p>
        </w:tc>
        <w:tc>
          <w:tcPr>
            <w:tcW w:w="1276" w:type="dxa"/>
            <w:tcBorders>
              <w:top w:val="single" w:sz="4" w:space="0" w:color="auto"/>
              <w:left w:val="single" w:sz="4" w:space="0" w:color="auto"/>
              <w:bottom w:val="single" w:sz="4" w:space="0" w:color="auto"/>
              <w:right w:val="single" w:sz="4" w:space="0" w:color="auto"/>
            </w:tcBorders>
            <w:shd w:val="clear" w:color="FFEB9C" w:fill="FFEB9C"/>
            <w:noWrap/>
            <w:vAlign w:val="bottom"/>
            <w:hideMark/>
          </w:tcPr>
          <w:p w14:paraId="2724500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992" w:type="dxa"/>
            <w:tcBorders>
              <w:top w:val="nil"/>
              <w:left w:val="nil"/>
              <w:bottom w:val="single" w:sz="4" w:space="0" w:color="auto"/>
              <w:right w:val="single" w:sz="4" w:space="0" w:color="auto"/>
            </w:tcBorders>
            <w:shd w:val="clear" w:color="F2F2F2" w:fill="F8CBAD"/>
            <w:noWrap/>
            <w:vAlign w:val="bottom"/>
            <w:hideMark/>
          </w:tcPr>
          <w:p w14:paraId="371E172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19</w:t>
            </w:r>
          </w:p>
        </w:tc>
      </w:tr>
      <w:tr w:rsidR="00917F32" w:rsidRPr="006E6FF5" w14:paraId="0EC46FE5"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78C62188"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Kopy</w:t>
            </w:r>
          </w:p>
        </w:tc>
        <w:tc>
          <w:tcPr>
            <w:tcW w:w="1134" w:type="dxa"/>
            <w:tcBorders>
              <w:top w:val="nil"/>
              <w:left w:val="nil"/>
              <w:bottom w:val="single" w:sz="4" w:space="0" w:color="auto"/>
              <w:right w:val="single" w:sz="4" w:space="0" w:color="auto"/>
            </w:tcBorders>
            <w:shd w:val="clear" w:color="F2F2F2" w:fill="FFFFFF"/>
            <w:noWrap/>
            <w:vAlign w:val="bottom"/>
            <w:hideMark/>
          </w:tcPr>
          <w:p w14:paraId="64014F7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181</w:t>
            </w:r>
          </w:p>
        </w:tc>
        <w:tc>
          <w:tcPr>
            <w:tcW w:w="999" w:type="dxa"/>
            <w:tcBorders>
              <w:top w:val="nil"/>
              <w:left w:val="nil"/>
              <w:bottom w:val="single" w:sz="4" w:space="0" w:color="auto"/>
              <w:right w:val="single" w:sz="4" w:space="0" w:color="auto"/>
            </w:tcBorders>
            <w:shd w:val="clear" w:color="F2F2F2" w:fill="FFFFFF"/>
            <w:noWrap/>
            <w:vAlign w:val="bottom"/>
            <w:hideMark/>
          </w:tcPr>
          <w:p w14:paraId="2152B28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173</w:t>
            </w:r>
          </w:p>
        </w:tc>
        <w:tc>
          <w:tcPr>
            <w:tcW w:w="1411" w:type="dxa"/>
            <w:tcBorders>
              <w:top w:val="nil"/>
              <w:left w:val="nil"/>
              <w:bottom w:val="single" w:sz="4" w:space="0" w:color="auto"/>
              <w:right w:val="single" w:sz="4" w:space="0" w:color="auto"/>
            </w:tcBorders>
            <w:shd w:val="clear" w:color="F2F2F2" w:fill="C6E0B4"/>
            <w:noWrap/>
            <w:vAlign w:val="bottom"/>
            <w:hideMark/>
          </w:tcPr>
          <w:p w14:paraId="7C98535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-4,42</w:t>
            </w:r>
          </w:p>
        </w:tc>
        <w:tc>
          <w:tcPr>
            <w:tcW w:w="1276" w:type="dxa"/>
            <w:tcBorders>
              <w:top w:val="nil"/>
              <w:left w:val="nil"/>
              <w:bottom w:val="single" w:sz="4" w:space="0" w:color="auto"/>
              <w:right w:val="single" w:sz="4" w:space="0" w:color="auto"/>
            </w:tcBorders>
            <w:shd w:val="clear" w:color="F2F2F2" w:fill="FFE699"/>
            <w:noWrap/>
            <w:vAlign w:val="bottom"/>
            <w:hideMark/>
          </w:tcPr>
          <w:p w14:paraId="7AC1159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55,10%</w:t>
            </w:r>
          </w:p>
        </w:tc>
        <w:tc>
          <w:tcPr>
            <w:tcW w:w="1540" w:type="dxa"/>
            <w:tcBorders>
              <w:top w:val="nil"/>
              <w:left w:val="nil"/>
              <w:bottom w:val="single" w:sz="4" w:space="0" w:color="auto"/>
              <w:right w:val="single" w:sz="4" w:space="0" w:color="auto"/>
            </w:tcBorders>
            <w:shd w:val="clear" w:color="000000" w:fill="C6E0B4"/>
            <w:vAlign w:val="center"/>
            <w:hideMark/>
          </w:tcPr>
          <w:p w14:paraId="5C65AFC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3,78</w:t>
            </w:r>
          </w:p>
        </w:tc>
        <w:tc>
          <w:tcPr>
            <w:tcW w:w="1578" w:type="dxa"/>
            <w:tcBorders>
              <w:top w:val="nil"/>
              <w:left w:val="single" w:sz="4" w:space="0" w:color="auto"/>
              <w:bottom w:val="single" w:sz="4" w:space="0" w:color="auto"/>
              <w:right w:val="nil"/>
            </w:tcBorders>
            <w:shd w:val="clear" w:color="000000" w:fill="C6E0B4"/>
            <w:noWrap/>
            <w:vAlign w:val="bottom"/>
            <w:hideMark/>
          </w:tcPr>
          <w:p w14:paraId="441607A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nil"/>
              <w:left w:val="single" w:sz="4" w:space="0" w:color="auto"/>
              <w:bottom w:val="single" w:sz="4" w:space="0" w:color="auto"/>
              <w:right w:val="single" w:sz="4" w:space="0" w:color="auto"/>
            </w:tcBorders>
            <w:shd w:val="clear" w:color="000000" w:fill="C6E0B4"/>
            <w:vAlign w:val="center"/>
            <w:hideMark/>
          </w:tcPr>
          <w:p w14:paraId="1C2FF2F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18,50%</w:t>
            </w:r>
          </w:p>
        </w:tc>
        <w:tc>
          <w:tcPr>
            <w:tcW w:w="1275" w:type="dxa"/>
            <w:tcBorders>
              <w:top w:val="single" w:sz="4" w:space="0" w:color="auto"/>
              <w:left w:val="nil"/>
              <w:bottom w:val="single" w:sz="4" w:space="0" w:color="auto"/>
              <w:right w:val="single" w:sz="4" w:space="0" w:color="auto"/>
            </w:tcBorders>
            <w:shd w:val="clear" w:color="FFEB9C" w:fill="FFEB9C"/>
            <w:noWrap/>
            <w:vAlign w:val="bottom"/>
            <w:hideMark/>
          </w:tcPr>
          <w:p w14:paraId="76881BF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5EA665D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09ECEE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nil"/>
              <w:left w:val="nil"/>
              <w:bottom w:val="single" w:sz="4" w:space="0" w:color="auto"/>
              <w:right w:val="single" w:sz="4" w:space="0" w:color="auto"/>
            </w:tcBorders>
            <w:shd w:val="clear" w:color="F2F2F2" w:fill="C6E0B4"/>
            <w:noWrap/>
            <w:vAlign w:val="bottom"/>
            <w:hideMark/>
          </w:tcPr>
          <w:p w14:paraId="5773C11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w:t>
            </w:r>
          </w:p>
        </w:tc>
      </w:tr>
      <w:tr w:rsidR="00917F32" w:rsidRPr="006E6FF5" w14:paraId="52528F99"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21056F6C"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Luboradz</w:t>
            </w:r>
          </w:p>
        </w:tc>
        <w:tc>
          <w:tcPr>
            <w:tcW w:w="1134" w:type="dxa"/>
            <w:tcBorders>
              <w:top w:val="nil"/>
              <w:left w:val="nil"/>
              <w:bottom w:val="single" w:sz="4" w:space="0" w:color="auto"/>
              <w:right w:val="single" w:sz="4" w:space="0" w:color="auto"/>
            </w:tcBorders>
            <w:shd w:val="clear" w:color="F2F2F2" w:fill="FFFFFF"/>
            <w:noWrap/>
            <w:vAlign w:val="bottom"/>
            <w:hideMark/>
          </w:tcPr>
          <w:p w14:paraId="689043C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132</w:t>
            </w:r>
          </w:p>
        </w:tc>
        <w:tc>
          <w:tcPr>
            <w:tcW w:w="999" w:type="dxa"/>
            <w:tcBorders>
              <w:top w:val="nil"/>
              <w:left w:val="nil"/>
              <w:bottom w:val="single" w:sz="4" w:space="0" w:color="auto"/>
              <w:right w:val="single" w:sz="4" w:space="0" w:color="auto"/>
            </w:tcBorders>
            <w:shd w:val="clear" w:color="F2F2F2" w:fill="FFFFFF"/>
            <w:noWrap/>
            <w:vAlign w:val="bottom"/>
            <w:hideMark/>
          </w:tcPr>
          <w:p w14:paraId="0185C07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122</w:t>
            </w:r>
          </w:p>
        </w:tc>
        <w:tc>
          <w:tcPr>
            <w:tcW w:w="1411" w:type="dxa"/>
            <w:tcBorders>
              <w:top w:val="nil"/>
              <w:left w:val="nil"/>
              <w:bottom w:val="single" w:sz="4" w:space="0" w:color="auto"/>
              <w:right w:val="single" w:sz="4" w:space="0" w:color="auto"/>
            </w:tcBorders>
            <w:shd w:val="clear" w:color="F2F2F2" w:fill="C6E0B4"/>
            <w:noWrap/>
            <w:vAlign w:val="bottom"/>
            <w:hideMark/>
          </w:tcPr>
          <w:p w14:paraId="0335DA3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-7,58</w:t>
            </w:r>
          </w:p>
        </w:tc>
        <w:tc>
          <w:tcPr>
            <w:tcW w:w="1276" w:type="dxa"/>
            <w:tcBorders>
              <w:top w:val="nil"/>
              <w:left w:val="nil"/>
              <w:bottom w:val="single" w:sz="4" w:space="0" w:color="auto"/>
              <w:right w:val="single" w:sz="4" w:space="0" w:color="auto"/>
            </w:tcBorders>
            <w:shd w:val="clear" w:color="F2F2F2" w:fill="FFE699"/>
            <w:noWrap/>
            <w:vAlign w:val="bottom"/>
            <w:hideMark/>
          </w:tcPr>
          <w:p w14:paraId="44015E4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55,16%</w:t>
            </w:r>
          </w:p>
        </w:tc>
        <w:tc>
          <w:tcPr>
            <w:tcW w:w="1540" w:type="dxa"/>
            <w:tcBorders>
              <w:top w:val="nil"/>
              <w:left w:val="nil"/>
              <w:bottom w:val="single" w:sz="4" w:space="0" w:color="auto"/>
              <w:right w:val="single" w:sz="4" w:space="0" w:color="auto"/>
            </w:tcBorders>
            <w:shd w:val="clear" w:color="000000" w:fill="C6E0B4"/>
            <w:vAlign w:val="center"/>
            <w:hideMark/>
          </w:tcPr>
          <w:p w14:paraId="038A972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3,78</w:t>
            </w:r>
          </w:p>
        </w:tc>
        <w:tc>
          <w:tcPr>
            <w:tcW w:w="1578" w:type="dxa"/>
            <w:tcBorders>
              <w:top w:val="nil"/>
              <w:left w:val="single" w:sz="4" w:space="0" w:color="auto"/>
              <w:bottom w:val="single" w:sz="4" w:space="0" w:color="auto"/>
              <w:right w:val="nil"/>
            </w:tcBorders>
            <w:shd w:val="clear" w:color="000000" w:fill="F8CBAD"/>
            <w:noWrap/>
            <w:vAlign w:val="bottom"/>
            <w:hideMark/>
          </w:tcPr>
          <w:p w14:paraId="76D59E1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5,74</w:t>
            </w:r>
          </w:p>
        </w:tc>
        <w:tc>
          <w:tcPr>
            <w:tcW w:w="1276" w:type="dxa"/>
            <w:tcBorders>
              <w:top w:val="nil"/>
              <w:left w:val="single" w:sz="4" w:space="0" w:color="auto"/>
              <w:bottom w:val="single" w:sz="4" w:space="0" w:color="auto"/>
              <w:right w:val="single" w:sz="4" w:space="0" w:color="auto"/>
            </w:tcBorders>
            <w:shd w:val="clear" w:color="000000" w:fill="C6E0B4"/>
            <w:vAlign w:val="center"/>
            <w:hideMark/>
          </w:tcPr>
          <w:p w14:paraId="7C1EB9E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18,00%</w:t>
            </w:r>
          </w:p>
        </w:tc>
        <w:tc>
          <w:tcPr>
            <w:tcW w:w="1275" w:type="dxa"/>
            <w:tcBorders>
              <w:top w:val="single" w:sz="4" w:space="0" w:color="auto"/>
              <w:left w:val="nil"/>
              <w:bottom w:val="single" w:sz="4" w:space="0" w:color="auto"/>
              <w:right w:val="single" w:sz="4" w:space="0" w:color="auto"/>
            </w:tcBorders>
            <w:shd w:val="clear" w:color="FFEB9C" w:fill="FFEB9C"/>
            <w:noWrap/>
            <w:vAlign w:val="bottom"/>
            <w:hideMark/>
          </w:tcPr>
          <w:p w14:paraId="41CF0CA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F25BAB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577BF1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nil"/>
              <w:left w:val="nil"/>
              <w:bottom w:val="single" w:sz="4" w:space="0" w:color="auto"/>
              <w:right w:val="single" w:sz="4" w:space="0" w:color="auto"/>
            </w:tcBorders>
            <w:shd w:val="clear" w:color="F2F2F2" w:fill="FFE699"/>
            <w:noWrap/>
            <w:vAlign w:val="bottom"/>
            <w:hideMark/>
          </w:tcPr>
          <w:p w14:paraId="7DEB98D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12</w:t>
            </w:r>
          </w:p>
        </w:tc>
      </w:tr>
      <w:tr w:rsidR="00917F32" w:rsidRPr="006E6FF5" w14:paraId="3D0198BD"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445BBC38"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Morawce</w:t>
            </w:r>
          </w:p>
        </w:tc>
        <w:tc>
          <w:tcPr>
            <w:tcW w:w="1134" w:type="dxa"/>
            <w:tcBorders>
              <w:top w:val="nil"/>
              <w:left w:val="nil"/>
              <w:bottom w:val="single" w:sz="4" w:space="0" w:color="auto"/>
              <w:right w:val="single" w:sz="4" w:space="0" w:color="auto"/>
            </w:tcBorders>
            <w:shd w:val="clear" w:color="F2F2F2" w:fill="FFFFFF"/>
            <w:noWrap/>
            <w:vAlign w:val="bottom"/>
            <w:hideMark/>
          </w:tcPr>
          <w:p w14:paraId="0E508FC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271</w:t>
            </w:r>
          </w:p>
        </w:tc>
        <w:tc>
          <w:tcPr>
            <w:tcW w:w="999" w:type="dxa"/>
            <w:tcBorders>
              <w:top w:val="nil"/>
              <w:left w:val="nil"/>
              <w:bottom w:val="single" w:sz="4" w:space="0" w:color="auto"/>
              <w:right w:val="single" w:sz="4" w:space="0" w:color="auto"/>
            </w:tcBorders>
            <w:shd w:val="clear" w:color="F2F2F2" w:fill="FFFFFF"/>
            <w:noWrap/>
            <w:vAlign w:val="bottom"/>
            <w:hideMark/>
          </w:tcPr>
          <w:p w14:paraId="43A9950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256</w:t>
            </w:r>
          </w:p>
        </w:tc>
        <w:tc>
          <w:tcPr>
            <w:tcW w:w="1411" w:type="dxa"/>
            <w:tcBorders>
              <w:top w:val="nil"/>
              <w:left w:val="nil"/>
              <w:bottom w:val="single" w:sz="4" w:space="0" w:color="auto"/>
              <w:right w:val="single" w:sz="4" w:space="0" w:color="auto"/>
            </w:tcBorders>
            <w:shd w:val="clear" w:color="F2F2F2" w:fill="C6E0B4"/>
            <w:noWrap/>
            <w:vAlign w:val="bottom"/>
            <w:hideMark/>
          </w:tcPr>
          <w:p w14:paraId="5BC7C49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-5,54</w:t>
            </w:r>
          </w:p>
        </w:tc>
        <w:tc>
          <w:tcPr>
            <w:tcW w:w="1276" w:type="dxa"/>
            <w:tcBorders>
              <w:top w:val="nil"/>
              <w:left w:val="nil"/>
              <w:bottom w:val="single" w:sz="4" w:space="0" w:color="auto"/>
              <w:right w:val="single" w:sz="4" w:space="0" w:color="auto"/>
            </w:tcBorders>
            <w:shd w:val="clear" w:color="F2F2F2" w:fill="C6E0B4"/>
            <w:noWrap/>
            <w:vAlign w:val="bottom"/>
            <w:hideMark/>
          </w:tcPr>
          <w:p w14:paraId="19CD25B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62,32%</w:t>
            </w:r>
          </w:p>
        </w:tc>
        <w:tc>
          <w:tcPr>
            <w:tcW w:w="1540" w:type="dxa"/>
            <w:tcBorders>
              <w:top w:val="nil"/>
              <w:left w:val="nil"/>
              <w:bottom w:val="single" w:sz="4" w:space="0" w:color="auto"/>
              <w:right w:val="single" w:sz="4" w:space="0" w:color="auto"/>
            </w:tcBorders>
            <w:shd w:val="clear" w:color="000000" w:fill="C6E0B4"/>
            <w:vAlign w:val="center"/>
            <w:hideMark/>
          </w:tcPr>
          <w:p w14:paraId="6E2D20B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3,78</w:t>
            </w:r>
          </w:p>
        </w:tc>
        <w:tc>
          <w:tcPr>
            <w:tcW w:w="1578" w:type="dxa"/>
            <w:tcBorders>
              <w:top w:val="nil"/>
              <w:left w:val="single" w:sz="4" w:space="0" w:color="auto"/>
              <w:bottom w:val="single" w:sz="4" w:space="0" w:color="auto"/>
              <w:right w:val="nil"/>
            </w:tcBorders>
            <w:shd w:val="clear" w:color="000000" w:fill="C6E0B4"/>
            <w:noWrap/>
            <w:vAlign w:val="bottom"/>
            <w:hideMark/>
          </w:tcPr>
          <w:p w14:paraId="544E008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2,73</w:t>
            </w:r>
          </w:p>
        </w:tc>
        <w:tc>
          <w:tcPr>
            <w:tcW w:w="1276" w:type="dxa"/>
            <w:tcBorders>
              <w:top w:val="nil"/>
              <w:left w:val="single" w:sz="4" w:space="0" w:color="auto"/>
              <w:bottom w:val="single" w:sz="4" w:space="0" w:color="auto"/>
              <w:right w:val="single" w:sz="4" w:space="0" w:color="auto"/>
            </w:tcBorders>
            <w:shd w:val="clear" w:color="000000" w:fill="C6E0B4"/>
            <w:vAlign w:val="center"/>
            <w:hideMark/>
          </w:tcPr>
          <w:p w14:paraId="4F76027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22,70%</w:t>
            </w:r>
          </w:p>
        </w:tc>
        <w:tc>
          <w:tcPr>
            <w:tcW w:w="1275" w:type="dxa"/>
            <w:tcBorders>
              <w:top w:val="single" w:sz="4" w:space="0" w:color="auto"/>
              <w:left w:val="nil"/>
              <w:bottom w:val="single" w:sz="4" w:space="0" w:color="auto"/>
              <w:right w:val="single" w:sz="4" w:space="0" w:color="auto"/>
            </w:tcBorders>
            <w:shd w:val="clear" w:color="FFEB9C" w:fill="FFEB9C"/>
            <w:noWrap/>
            <w:vAlign w:val="bottom"/>
            <w:hideMark/>
          </w:tcPr>
          <w:p w14:paraId="7D4A8D5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FFEB9C" w:fill="FFEB9C"/>
            <w:noWrap/>
            <w:vAlign w:val="bottom"/>
            <w:hideMark/>
          </w:tcPr>
          <w:p w14:paraId="301E10B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0C73ED9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nil"/>
              <w:left w:val="nil"/>
              <w:bottom w:val="single" w:sz="4" w:space="0" w:color="auto"/>
              <w:right w:val="single" w:sz="4" w:space="0" w:color="auto"/>
            </w:tcBorders>
            <w:shd w:val="clear" w:color="F2F2F2" w:fill="C6E0B4"/>
            <w:noWrap/>
            <w:vAlign w:val="bottom"/>
            <w:hideMark/>
          </w:tcPr>
          <w:p w14:paraId="566D5FD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w:t>
            </w:r>
          </w:p>
        </w:tc>
      </w:tr>
      <w:tr w:rsidR="00917F32" w:rsidRPr="006E6FF5" w14:paraId="63280E61"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014D4CE7"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Nowe</w:t>
            </w:r>
          </w:p>
        </w:tc>
        <w:tc>
          <w:tcPr>
            <w:tcW w:w="1134" w:type="dxa"/>
            <w:tcBorders>
              <w:top w:val="nil"/>
              <w:left w:val="nil"/>
              <w:bottom w:val="single" w:sz="4" w:space="0" w:color="auto"/>
              <w:right w:val="single" w:sz="4" w:space="0" w:color="auto"/>
            </w:tcBorders>
            <w:shd w:val="clear" w:color="F2F2F2" w:fill="FFFFFF"/>
            <w:noWrap/>
            <w:vAlign w:val="bottom"/>
            <w:hideMark/>
          </w:tcPr>
          <w:p w14:paraId="0D8BDCE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365</w:t>
            </w:r>
          </w:p>
        </w:tc>
        <w:tc>
          <w:tcPr>
            <w:tcW w:w="999" w:type="dxa"/>
            <w:tcBorders>
              <w:top w:val="nil"/>
              <w:left w:val="nil"/>
              <w:bottom w:val="single" w:sz="4" w:space="0" w:color="auto"/>
              <w:right w:val="single" w:sz="4" w:space="0" w:color="auto"/>
            </w:tcBorders>
            <w:shd w:val="clear" w:color="F2F2F2" w:fill="FFFFFF"/>
            <w:noWrap/>
            <w:vAlign w:val="bottom"/>
            <w:hideMark/>
          </w:tcPr>
          <w:p w14:paraId="49A6A9D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347</w:t>
            </w:r>
          </w:p>
        </w:tc>
        <w:tc>
          <w:tcPr>
            <w:tcW w:w="1411" w:type="dxa"/>
            <w:tcBorders>
              <w:top w:val="nil"/>
              <w:left w:val="nil"/>
              <w:bottom w:val="single" w:sz="4" w:space="0" w:color="auto"/>
              <w:right w:val="single" w:sz="4" w:space="0" w:color="auto"/>
            </w:tcBorders>
            <w:shd w:val="clear" w:color="F2F2F2" w:fill="C6E0B4"/>
            <w:noWrap/>
            <w:vAlign w:val="bottom"/>
            <w:hideMark/>
          </w:tcPr>
          <w:p w14:paraId="19CD8DB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-4,93</w:t>
            </w:r>
          </w:p>
        </w:tc>
        <w:tc>
          <w:tcPr>
            <w:tcW w:w="1276" w:type="dxa"/>
            <w:tcBorders>
              <w:top w:val="nil"/>
              <w:left w:val="nil"/>
              <w:bottom w:val="single" w:sz="4" w:space="0" w:color="auto"/>
              <w:right w:val="single" w:sz="4" w:space="0" w:color="auto"/>
            </w:tcBorders>
            <w:shd w:val="clear" w:color="F2F2F2" w:fill="FFE699"/>
            <w:noWrap/>
            <w:vAlign w:val="bottom"/>
            <w:hideMark/>
          </w:tcPr>
          <w:p w14:paraId="7DC3162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47,46%</w:t>
            </w:r>
          </w:p>
        </w:tc>
        <w:tc>
          <w:tcPr>
            <w:tcW w:w="1540" w:type="dxa"/>
            <w:tcBorders>
              <w:top w:val="nil"/>
              <w:left w:val="nil"/>
              <w:bottom w:val="single" w:sz="4" w:space="0" w:color="auto"/>
              <w:right w:val="single" w:sz="4" w:space="0" w:color="auto"/>
            </w:tcBorders>
            <w:shd w:val="clear" w:color="000000" w:fill="FFE699"/>
            <w:vAlign w:val="center"/>
            <w:hideMark/>
          </w:tcPr>
          <w:p w14:paraId="40359A2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5,67</w:t>
            </w:r>
          </w:p>
        </w:tc>
        <w:tc>
          <w:tcPr>
            <w:tcW w:w="1578" w:type="dxa"/>
            <w:tcBorders>
              <w:top w:val="nil"/>
              <w:left w:val="single" w:sz="4" w:space="0" w:color="auto"/>
              <w:bottom w:val="single" w:sz="4" w:space="0" w:color="auto"/>
              <w:right w:val="nil"/>
            </w:tcBorders>
            <w:shd w:val="clear" w:color="000000" w:fill="C6E0B4"/>
            <w:noWrap/>
            <w:vAlign w:val="bottom"/>
            <w:hideMark/>
          </w:tcPr>
          <w:p w14:paraId="6366B43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nil"/>
              <w:left w:val="single" w:sz="4" w:space="0" w:color="auto"/>
              <w:bottom w:val="single" w:sz="4" w:space="0" w:color="auto"/>
              <w:right w:val="single" w:sz="4" w:space="0" w:color="auto"/>
            </w:tcBorders>
            <w:shd w:val="clear" w:color="000000" w:fill="C6E0B4"/>
            <w:vAlign w:val="center"/>
            <w:hideMark/>
          </w:tcPr>
          <w:p w14:paraId="761D503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18,40%</w:t>
            </w:r>
          </w:p>
        </w:tc>
        <w:tc>
          <w:tcPr>
            <w:tcW w:w="1275" w:type="dxa"/>
            <w:tcBorders>
              <w:top w:val="single" w:sz="4" w:space="0" w:color="auto"/>
              <w:left w:val="nil"/>
              <w:bottom w:val="single" w:sz="4" w:space="0" w:color="auto"/>
              <w:right w:val="single" w:sz="4" w:space="0" w:color="auto"/>
            </w:tcBorders>
            <w:shd w:val="clear" w:color="F8CBAD" w:fill="F8CBAD"/>
            <w:noWrap/>
            <w:vAlign w:val="bottom"/>
            <w:hideMark/>
          </w:tcPr>
          <w:p w14:paraId="5D9C2A5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B1076D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FFEB9C" w:fill="FFEB9C"/>
            <w:noWrap/>
            <w:vAlign w:val="bottom"/>
            <w:hideMark/>
          </w:tcPr>
          <w:p w14:paraId="51ACC56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992" w:type="dxa"/>
            <w:tcBorders>
              <w:top w:val="nil"/>
              <w:left w:val="nil"/>
              <w:bottom w:val="single" w:sz="4" w:space="0" w:color="auto"/>
              <w:right w:val="single" w:sz="4" w:space="0" w:color="auto"/>
            </w:tcBorders>
            <w:shd w:val="clear" w:color="F2F2F2" w:fill="C6E0B4"/>
            <w:noWrap/>
            <w:vAlign w:val="bottom"/>
            <w:hideMark/>
          </w:tcPr>
          <w:p w14:paraId="6C1E582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9</w:t>
            </w:r>
          </w:p>
        </w:tc>
      </w:tr>
      <w:tr w:rsidR="00917F32" w:rsidRPr="006E6FF5" w14:paraId="711A1DE8"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12BC8D29"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Ostałów</w:t>
            </w:r>
          </w:p>
        </w:tc>
        <w:tc>
          <w:tcPr>
            <w:tcW w:w="1134" w:type="dxa"/>
            <w:tcBorders>
              <w:top w:val="nil"/>
              <w:left w:val="nil"/>
              <w:bottom w:val="single" w:sz="4" w:space="0" w:color="auto"/>
              <w:right w:val="single" w:sz="4" w:space="0" w:color="auto"/>
            </w:tcBorders>
            <w:shd w:val="clear" w:color="F2F2F2" w:fill="FFFFFF"/>
            <w:noWrap/>
            <w:vAlign w:val="bottom"/>
            <w:hideMark/>
          </w:tcPr>
          <w:p w14:paraId="6680234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85</w:t>
            </w:r>
          </w:p>
        </w:tc>
        <w:tc>
          <w:tcPr>
            <w:tcW w:w="999" w:type="dxa"/>
            <w:tcBorders>
              <w:top w:val="nil"/>
              <w:left w:val="nil"/>
              <w:bottom w:val="single" w:sz="4" w:space="0" w:color="auto"/>
              <w:right w:val="single" w:sz="4" w:space="0" w:color="auto"/>
            </w:tcBorders>
            <w:shd w:val="clear" w:color="F2F2F2" w:fill="FFFFFF"/>
            <w:noWrap/>
            <w:vAlign w:val="bottom"/>
            <w:hideMark/>
          </w:tcPr>
          <w:p w14:paraId="5CD63C4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84</w:t>
            </w:r>
          </w:p>
        </w:tc>
        <w:tc>
          <w:tcPr>
            <w:tcW w:w="1411" w:type="dxa"/>
            <w:tcBorders>
              <w:top w:val="nil"/>
              <w:left w:val="nil"/>
              <w:bottom w:val="single" w:sz="4" w:space="0" w:color="auto"/>
              <w:right w:val="single" w:sz="4" w:space="0" w:color="auto"/>
            </w:tcBorders>
            <w:shd w:val="clear" w:color="F2F2F2" w:fill="C6E0B4"/>
            <w:noWrap/>
            <w:vAlign w:val="bottom"/>
            <w:hideMark/>
          </w:tcPr>
          <w:p w14:paraId="21D32F5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-1,18</w:t>
            </w:r>
          </w:p>
        </w:tc>
        <w:tc>
          <w:tcPr>
            <w:tcW w:w="1276" w:type="dxa"/>
            <w:tcBorders>
              <w:top w:val="nil"/>
              <w:left w:val="nil"/>
              <w:bottom w:val="single" w:sz="4" w:space="0" w:color="auto"/>
              <w:right w:val="single" w:sz="4" w:space="0" w:color="auto"/>
            </w:tcBorders>
            <w:shd w:val="clear" w:color="F2F2F2" w:fill="F8CBAD"/>
            <w:noWrap/>
            <w:vAlign w:val="bottom"/>
            <w:hideMark/>
          </w:tcPr>
          <w:p w14:paraId="3DCBAAE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51,06%</w:t>
            </w:r>
          </w:p>
        </w:tc>
        <w:tc>
          <w:tcPr>
            <w:tcW w:w="1540" w:type="dxa"/>
            <w:tcBorders>
              <w:top w:val="nil"/>
              <w:left w:val="nil"/>
              <w:bottom w:val="single" w:sz="4" w:space="0" w:color="auto"/>
              <w:right w:val="single" w:sz="4" w:space="0" w:color="auto"/>
            </w:tcBorders>
            <w:shd w:val="clear" w:color="000000" w:fill="C6E0B4"/>
            <w:vAlign w:val="center"/>
            <w:hideMark/>
          </w:tcPr>
          <w:p w14:paraId="4968C77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1,89</w:t>
            </w:r>
          </w:p>
        </w:tc>
        <w:tc>
          <w:tcPr>
            <w:tcW w:w="1578" w:type="dxa"/>
            <w:tcBorders>
              <w:top w:val="nil"/>
              <w:left w:val="single" w:sz="4" w:space="0" w:color="auto"/>
              <w:bottom w:val="single" w:sz="4" w:space="0" w:color="auto"/>
              <w:right w:val="nil"/>
            </w:tcBorders>
            <w:shd w:val="clear" w:color="000000" w:fill="F8CBAD"/>
            <w:noWrap/>
            <w:vAlign w:val="bottom"/>
            <w:hideMark/>
          </w:tcPr>
          <w:p w14:paraId="53B8449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10,71</w:t>
            </w:r>
          </w:p>
        </w:tc>
        <w:tc>
          <w:tcPr>
            <w:tcW w:w="1276" w:type="dxa"/>
            <w:tcBorders>
              <w:top w:val="nil"/>
              <w:left w:val="single" w:sz="4" w:space="0" w:color="auto"/>
              <w:bottom w:val="single" w:sz="4" w:space="0" w:color="auto"/>
              <w:right w:val="single" w:sz="4" w:space="0" w:color="auto"/>
            </w:tcBorders>
            <w:shd w:val="clear" w:color="000000" w:fill="C6E0B4"/>
            <w:vAlign w:val="center"/>
            <w:hideMark/>
          </w:tcPr>
          <w:p w14:paraId="5F2C4F7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17,90%</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1F05BD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CFF62D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C801DB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nil"/>
              <w:left w:val="nil"/>
              <w:bottom w:val="single" w:sz="4" w:space="0" w:color="auto"/>
              <w:right w:val="single" w:sz="4" w:space="0" w:color="auto"/>
            </w:tcBorders>
            <w:shd w:val="clear" w:color="F2F2F2" w:fill="FFE699"/>
            <w:noWrap/>
            <w:vAlign w:val="bottom"/>
            <w:hideMark/>
          </w:tcPr>
          <w:p w14:paraId="49FFB04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13</w:t>
            </w:r>
          </w:p>
        </w:tc>
      </w:tr>
      <w:tr w:rsidR="00917F32" w:rsidRPr="006E6FF5" w14:paraId="7BF5164D"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11FA3B21"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Pawlikowice</w:t>
            </w:r>
          </w:p>
        </w:tc>
        <w:tc>
          <w:tcPr>
            <w:tcW w:w="1134" w:type="dxa"/>
            <w:tcBorders>
              <w:top w:val="nil"/>
              <w:left w:val="nil"/>
              <w:bottom w:val="single" w:sz="4" w:space="0" w:color="auto"/>
              <w:right w:val="single" w:sz="4" w:space="0" w:color="auto"/>
            </w:tcBorders>
            <w:shd w:val="clear" w:color="F2F2F2" w:fill="FFFFFF"/>
            <w:noWrap/>
            <w:vAlign w:val="bottom"/>
            <w:hideMark/>
          </w:tcPr>
          <w:p w14:paraId="47BB1F8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127</w:t>
            </w:r>
          </w:p>
        </w:tc>
        <w:tc>
          <w:tcPr>
            <w:tcW w:w="999" w:type="dxa"/>
            <w:tcBorders>
              <w:top w:val="nil"/>
              <w:left w:val="nil"/>
              <w:bottom w:val="single" w:sz="4" w:space="0" w:color="auto"/>
              <w:right w:val="single" w:sz="4" w:space="0" w:color="auto"/>
            </w:tcBorders>
            <w:shd w:val="clear" w:color="F2F2F2" w:fill="FFFFFF"/>
            <w:noWrap/>
            <w:vAlign w:val="bottom"/>
            <w:hideMark/>
          </w:tcPr>
          <w:p w14:paraId="70B657C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119</w:t>
            </w:r>
          </w:p>
        </w:tc>
        <w:tc>
          <w:tcPr>
            <w:tcW w:w="1411" w:type="dxa"/>
            <w:tcBorders>
              <w:top w:val="nil"/>
              <w:left w:val="nil"/>
              <w:bottom w:val="single" w:sz="4" w:space="0" w:color="auto"/>
              <w:right w:val="single" w:sz="4" w:space="0" w:color="auto"/>
            </w:tcBorders>
            <w:shd w:val="clear" w:color="F2F2F2" w:fill="C6E0B4"/>
            <w:noWrap/>
            <w:vAlign w:val="bottom"/>
            <w:hideMark/>
          </w:tcPr>
          <w:p w14:paraId="1E51B12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-6,30</w:t>
            </w:r>
          </w:p>
        </w:tc>
        <w:tc>
          <w:tcPr>
            <w:tcW w:w="1276" w:type="dxa"/>
            <w:tcBorders>
              <w:top w:val="nil"/>
              <w:left w:val="nil"/>
              <w:bottom w:val="single" w:sz="4" w:space="0" w:color="auto"/>
              <w:right w:val="single" w:sz="4" w:space="0" w:color="auto"/>
            </w:tcBorders>
            <w:shd w:val="clear" w:color="F2F2F2" w:fill="F8CBAD"/>
            <w:noWrap/>
            <w:vAlign w:val="bottom"/>
            <w:hideMark/>
          </w:tcPr>
          <w:p w14:paraId="3F04F80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47,46%</w:t>
            </w:r>
          </w:p>
        </w:tc>
        <w:tc>
          <w:tcPr>
            <w:tcW w:w="1540" w:type="dxa"/>
            <w:tcBorders>
              <w:top w:val="nil"/>
              <w:left w:val="nil"/>
              <w:bottom w:val="single" w:sz="4" w:space="0" w:color="auto"/>
              <w:right w:val="single" w:sz="4" w:space="0" w:color="auto"/>
            </w:tcBorders>
            <w:shd w:val="clear" w:color="000000" w:fill="C6E0B4"/>
            <w:vAlign w:val="center"/>
            <w:hideMark/>
          </w:tcPr>
          <w:p w14:paraId="3CAB475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3,78</w:t>
            </w:r>
          </w:p>
        </w:tc>
        <w:tc>
          <w:tcPr>
            <w:tcW w:w="1578" w:type="dxa"/>
            <w:tcBorders>
              <w:top w:val="nil"/>
              <w:left w:val="single" w:sz="4" w:space="0" w:color="auto"/>
              <w:bottom w:val="single" w:sz="4" w:space="0" w:color="auto"/>
              <w:right w:val="nil"/>
            </w:tcBorders>
            <w:shd w:val="clear" w:color="000000" w:fill="F8CBAD"/>
            <w:noWrap/>
            <w:vAlign w:val="bottom"/>
            <w:hideMark/>
          </w:tcPr>
          <w:p w14:paraId="11DC633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24,37</w:t>
            </w:r>
          </w:p>
        </w:tc>
        <w:tc>
          <w:tcPr>
            <w:tcW w:w="1276" w:type="dxa"/>
            <w:tcBorders>
              <w:top w:val="nil"/>
              <w:left w:val="single" w:sz="4" w:space="0" w:color="auto"/>
              <w:bottom w:val="single" w:sz="4" w:space="0" w:color="auto"/>
              <w:right w:val="single" w:sz="4" w:space="0" w:color="auto"/>
            </w:tcBorders>
            <w:shd w:val="clear" w:color="000000" w:fill="C6E0B4"/>
            <w:vAlign w:val="center"/>
            <w:hideMark/>
          </w:tcPr>
          <w:p w14:paraId="4ED71EE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18,50%</w:t>
            </w:r>
          </w:p>
        </w:tc>
        <w:tc>
          <w:tcPr>
            <w:tcW w:w="1275" w:type="dxa"/>
            <w:tcBorders>
              <w:top w:val="single" w:sz="4" w:space="0" w:color="auto"/>
              <w:left w:val="nil"/>
              <w:bottom w:val="single" w:sz="4" w:space="0" w:color="auto"/>
              <w:right w:val="single" w:sz="4" w:space="0" w:color="auto"/>
            </w:tcBorders>
            <w:shd w:val="clear" w:color="FFEB9C" w:fill="FFEB9C"/>
            <w:noWrap/>
            <w:vAlign w:val="bottom"/>
            <w:hideMark/>
          </w:tcPr>
          <w:p w14:paraId="2DCA642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871284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FFEB9C" w:fill="FFEB9C"/>
            <w:noWrap/>
            <w:vAlign w:val="bottom"/>
            <w:hideMark/>
          </w:tcPr>
          <w:p w14:paraId="3821F14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992" w:type="dxa"/>
            <w:tcBorders>
              <w:top w:val="nil"/>
              <w:left w:val="nil"/>
              <w:bottom w:val="single" w:sz="4" w:space="0" w:color="auto"/>
              <w:right w:val="single" w:sz="4" w:space="0" w:color="auto"/>
            </w:tcBorders>
            <w:shd w:val="clear" w:color="F2F2F2" w:fill="FFE699"/>
            <w:noWrap/>
            <w:vAlign w:val="bottom"/>
            <w:hideMark/>
          </w:tcPr>
          <w:p w14:paraId="0932C67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15</w:t>
            </w:r>
          </w:p>
        </w:tc>
      </w:tr>
      <w:tr w:rsidR="00917F32" w:rsidRPr="006E6FF5" w14:paraId="30C77D84" w14:textId="77777777" w:rsidTr="001328FC">
        <w:trPr>
          <w:trHeight w:val="290"/>
        </w:trPr>
        <w:tc>
          <w:tcPr>
            <w:tcW w:w="2269" w:type="dxa"/>
            <w:tcBorders>
              <w:top w:val="nil"/>
              <w:left w:val="single" w:sz="4" w:space="0" w:color="auto"/>
              <w:bottom w:val="single" w:sz="4" w:space="0" w:color="auto"/>
              <w:right w:val="single" w:sz="4" w:space="0" w:color="auto"/>
            </w:tcBorders>
            <w:shd w:val="clear" w:color="F2F2F2" w:fill="FFFFFF"/>
            <w:noWrap/>
            <w:vAlign w:val="bottom"/>
            <w:hideMark/>
          </w:tcPr>
          <w:p w14:paraId="04657BF7"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Pomarzany</w:t>
            </w:r>
          </w:p>
        </w:tc>
        <w:tc>
          <w:tcPr>
            <w:tcW w:w="1134" w:type="dxa"/>
            <w:tcBorders>
              <w:top w:val="nil"/>
              <w:left w:val="nil"/>
              <w:bottom w:val="single" w:sz="4" w:space="0" w:color="auto"/>
              <w:right w:val="single" w:sz="4" w:space="0" w:color="auto"/>
            </w:tcBorders>
            <w:shd w:val="clear" w:color="F2F2F2" w:fill="FFFFFF"/>
            <w:noWrap/>
            <w:vAlign w:val="bottom"/>
            <w:hideMark/>
          </w:tcPr>
          <w:p w14:paraId="44516D1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294</w:t>
            </w:r>
          </w:p>
        </w:tc>
        <w:tc>
          <w:tcPr>
            <w:tcW w:w="999" w:type="dxa"/>
            <w:tcBorders>
              <w:top w:val="nil"/>
              <w:left w:val="nil"/>
              <w:bottom w:val="single" w:sz="4" w:space="0" w:color="auto"/>
              <w:right w:val="single" w:sz="4" w:space="0" w:color="auto"/>
            </w:tcBorders>
            <w:shd w:val="clear" w:color="F2F2F2" w:fill="FFFFFF"/>
            <w:noWrap/>
            <w:vAlign w:val="bottom"/>
            <w:hideMark/>
          </w:tcPr>
          <w:p w14:paraId="02D3450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269</w:t>
            </w:r>
          </w:p>
        </w:tc>
        <w:tc>
          <w:tcPr>
            <w:tcW w:w="1411" w:type="dxa"/>
            <w:tcBorders>
              <w:top w:val="nil"/>
              <w:left w:val="nil"/>
              <w:bottom w:val="single" w:sz="4" w:space="0" w:color="auto"/>
              <w:right w:val="single" w:sz="4" w:space="0" w:color="auto"/>
            </w:tcBorders>
            <w:shd w:val="clear" w:color="F2F2F2" w:fill="FFE699"/>
            <w:noWrap/>
            <w:vAlign w:val="bottom"/>
            <w:hideMark/>
          </w:tcPr>
          <w:p w14:paraId="7E0BFB6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-8,50</w:t>
            </w:r>
          </w:p>
        </w:tc>
        <w:tc>
          <w:tcPr>
            <w:tcW w:w="1276" w:type="dxa"/>
            <w:tcBorders>
              <w:top w:val="nil"/>
              <w:left w:val="nil"/>
              <w:bottom w:val="single" w:sz="4" w:space="0" w:color="auto"/>
              <w:right w:val="single" w:sz="4" w:space="0" w:color="auto"/>
            </w:tcBorders>
            <w:shd w:val="clear" w:color="F2F2F2" w:fill="F8CBAD"/>
            <w:noWrap/>
            <w:vAlign w:val="bottom"/>
            <w:hideMark/>
          </w:tcPr>
          <w:p w14:paraId="2CB9754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47,46%</w:t>
            </w:r>
          </w:p>
        </w:tc>
        <w:tc>
          <w:tcPr>
            <w:tcW w:w="1540" w:type="dxa"/>
            <w:tcBorders>
              <w:top w:val="nil"/>
              <w:left w:val="nil"/>
              <w:bottom w:val="single" w:sz="4" w:space="0" w:color="auto"/>
              <w:right w:val="single" w:sz="4" w:space="0" w:color="auto"/>
            </w:tcBorders>
            <w:shd w:val="clear" w:color="000000" w:fill="C6E0B4"/>
            <w:vAlign w:val="center"/>
            <w:hideMark/>
          </w:tcPr>
          <w:p w14:paraId="61D58FF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3,78</w:t>
            </w:r>
          </w:p>
        </w:tc>
        <w:tc>
          <w:tcPr>
            <w:tcW w:w="1578" w:type="dxa"/>
            <w:tcBorders>
              <w:top w:val="nil"/>
              <w:left w:val="single" w:sz="4" w:space="0" w:color="auto"/>
              <w:bottom w:val="single" w:sz="4" w:space="0" w:color="auto"/>
              <w:right w:val="nil"/>
            </w:tcBorders>
            <w:shd w:val="clear" w:color="000000" w:fill="C6E0B4"/>
            <w:noWrap/>
            <w:vAlign w:val="bottom"/>
            <w:hideMark/>
          </w:tcPr>
          <w:p w14:paraId="5901E3A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nil"/>
              <w:left w:val="single" w:sz="4" w:space="0" w:color="auto"/>
              <w:bottom w:val="single" w:sz="4" w:space="0" w:color="auto"/>
              <w:right w:val="single" w:sz="4" w:space="0" w:color="auto"/>
            </w:tcBorders>
            <w:shd w:val="clear" w:color="000000" w:fill="C6E0B4"/>
            <w:vAlign w:val="center"/>
            <w:hideMark/>
          </w:tcPr>
          <w:p w14:paraId="388687F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22,70%</w:t>
            </w:r>
          </w:p>
        </w:tc>
        <w:tc>
          <w:tcPr>
            <w:tcW w:w="1275" w:type="dxa"/>
            <w:tcBorders>
              <w:top w:val="single" w:sz="4" w:space="0" w:color="auto"/>
              <w:left w:val="nil"/>
              <w:bottom w:val="single" w:sz="4" w:space="0" w:color="auto"/>
              <w:right w:val="single" w:sz="4" w:space="0" w:color="auto"/>
            </w:tcBorders>
            <w:shd w:val="clear" w:color="FFEB9C" w:fill="FFEB9C"/>
            <w:noWrap/>
            <w:vAlign w:val="bottom"/>
            <w:hideMark/>
          </w:tcPr>
          <w:p w14:paraId="1C1A8E2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FFEB9C" w:fill="FFEB9C"/>
            <w:noWrap/>
            <w:vAlign w:val="bottom"/>
            <w:hideMark/>
          </w:tcPr>
          <w:p w14:paraId="41CB76C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599AF7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nil"/>
              <w:left w:val="nil"/>
              <w:bottom w:val="single" w:sz="4" w:space="0" w:color="auto"/>
              <w:right w:val="single" w:sz="4" w:space="0" w:color="auto"/>
            </w:tcBorders>
            <w:shd w:val="clear" w:color="F2F2F2" w:fill="FFE699"/>
            <w:noWrap/>
            <w:vAlign w:val="bottom"/>
            <w:hideMark/>
          </w:tcPr>
          <w:p w14:paraId="63EDB1B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13</w:t>
            </w:r>
          </w:p>
        </w:tc>
      </w:tr>
      <w:tr w:rsidR="00917F32" w:rsidRPr="006E6FF5" w14:paraId="353FF490" w14:textId="77777777" w:rsidTr="001328FC">
        <w:trPr>
          <w:trHeight w:val="290"/>
        </w:trPr>
        <w:tc>
          <w:tcPr>
            <w:tcW w:w="2269"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70270818"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Suchodoły</w:t>
            </w:r>
          </w:p>
        </w:tc>
        <w:tc>
          <w:tcPr>
            <w:tcW w:w="1134" w:type="dxa"/>
            <w:tcBorders>
              <w:top w:val="single" w:sz="4" w:space="0" w:color="auto"/>
              <w:left w:val="nil"/>
              <w:bottom w:val="single" w:sz="4" w:space="0" w:color="auto"/>
              <w:right w:val="single" w:sz="4" w:space="0" w:color="auto"/>
            </w:tcBorders>
            <w:shd w:val="clear" w:color="F2F2F2" w:fill="FFFFFF"/>
            <w:noWrap/>
            <w:vAlign w:val="bottom"/>
            <w:hideMark/>
          </w:tcPr>
          <w:p w14:paraId="246E641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48</w:t>
            </w:r>
          </w:p>
        </w:tc>
        <w:tc>
          <w:tcPr>
            <w:tcW w:w="999" w:type="dxa"/>
            <w:tcBorders>
              <w:top w:val="single" w:sz="4" w:space="0" w:color="auto"/>
              <w:left w:val="nil"/>
              <w:bottom w:val="single" w:sz="4" w:space="0" w:color="auto"/>
              <w:right w:val="single" w:sz="4" w:space="0" w:color="auto"/>
            </w:tcBorders>
            <w:shd w:val="clear" w:color="F2F2F2" w:fill="FFFFFF"/>
            <w:noWrap/>
            <w:vAlign w:val="bottom"/>
            <w:hideMark/>
          </w:tcPr>
          <w:p w14:paraId="3A02015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50</w:t>
            </w:r>
          </w:p>
        </w:tc>
        <w:tc>
          <w:tcPr>
            <w:tcW w:w="1411" w:type="dxa"/>
            <w:tcBorders>
              <w:top w:val="single" w:sz="4" w:space="0" w:color="auto"/>
              <w:left w:val="nil"/>
              <w:bottom w:val="single" w:sz="4" w:space="0" w:color="auto"/>
              <w:right w:val="single" w:sz="4" w:space="0" w:color="auto"/>
            </w:tcBorders>
            <w:shd w:val="clear" w:color="F2F2F2" w:fill="C6E0B4"/>
            <w:noWrap/>
            <w:vAlign w:val="bottom"/>
            <w:hideMark/>
          </w:tcPr>
          <w:p w14:paraId="79FA820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4,17</w:t>
            </w:r>
          </w:p>
        </w:tc>
        <w:tc>
          <w:tcPr>
            <w:tcW w:w="1276" w:type="dxa"/>
            <w:tcBorders>
              <w:top w:val="single" w:sz="4" w:space="0" w:color="auto"/>
              <w:left w:val="nil"/>
              <w:bottom w:val="single" w:sz="4" w:space="0" w:color="auto"/>
              <w:right w:val="single" w:sz="4" w:space="0" w:color="auto"/>
            </w:tcBorders>
            <w:shd w:val="clear" w:color="F2F2F2" w:fill="C6E0B4"/>
            <w:noWrap/>
            <w:vAlign w:val="bottom"/>
            <w:hideMark/>
          </w:tcPr>
          <w:p w14:paraId="1A5A55E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57,21%</w:t>
            </w:r>
          </w:p>
        </w:tc>
        <w:tc>
          <w:tcPr>
            <w:tcW w:w="1540" w:type="dxa"/>
            <w:tcBorders>
              <w:top w:val="single" w:sz="4" w:space="0" w:color="auto"/>
              <w:left w:val="nil"/>
              <w:bottom w:val="single" w:sz="4" w:space="0" w:color="auto"/>
              <w:right w:val="single" w:sz="4" w:space="0" w:color="auto"/>
            </w:tcBorders>
            <w:shd w:val="clear" w:color="000000" w:fill="C6E0B4"/>
            <w:vAlign w:val="center"/>
            <w:hideMark/>
          </w:tcPr>
          <w:p w14:paraId="169F3EC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1,89</w:t>
            </w:r>
          </w:p>
        </w:tc>
        <w:tc>
          <w:tcPr>
            <w:tcW w:w="1578" w:type="dxa"/>
            <w:tcBorders>
              <w:top w:val="single" w:sz="4" w:space="0" w:color="auto"/>
              <w:left w:val="single" w:sz="4" w:space="0" w:color="auto"/>
              <w:bottom w:val="single" w:sz="4" w:space="0" w:color="auto"/>
              <w:right w:val="nil"/>
            </w:tcBorders>
            <w:shd w:val="clear" w:color="000000" w:fill="C6E0B4"/>
            <w:noWrap/>
            <w:vAlign w:val="bottom"/>
            <w:hideMark/>
          </w:tcPr>
          <w:p w14:paraId="76388F1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72D7538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18,00%</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9AC55F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736A71D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559E3D2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single" w:sz="4" w:space="0" w:color="auto"/>
              <w:left w:val="nil"/>
              <w:bottom w:val="single" w:sz="4" w:space="0" w:color="auto"/>
              <w:right w:val="single" w:sz="4" w:space="0" w:color="auto"/>
            </w:tcBorders>
            <w:shd w:val="clear" w:color="F2F2F2" w:fill="C6E0B4"/>
            <w:noWrap/>
            <w:vAlign w:val="bottom"/>
            <w:hideMark/>
          </w:tcPr>
          <w:p w14:paraId="329C679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8</w:t>
            </w:r>
          </w:p>
        </w:tc>
      </w:tr>
      <w:tr w:rsidR="00917F32" w:rsidRPr="006E6FF5" w14:paraId="650F2AFA" w14:textId="77777777" w:rsidTr="001328FC">
        <w:trPr>
          <w:trHeight w:val="290"/>
        </w:trPr>
        <w:tc>
          <w:tcPr>
            <w:tcW w:w="2269"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7195FBD2"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lastRenderedPageBreak/>
              <w:t>Sołectwo Szubina</w:t>
            </w:r>
          </w:p>
        </w:tc>
        <w:tc>
          <w:tcPr>
            <w:tcW w:w="1134" w:type="dxa"/>
            <w:tcBorders>
              <w:top w:val="single" w:sz="4" w:space="0" w:color="auto"/>
              <w:left w:val="nil"/>
              <w:bottom w:val="single" w:sz="4" w:space="0" w:color="auto"/>
              <w:right w:val="single" w:sz="4" w:space="0" w:color="auto"/>
            </w:tcBorders>
            <w:shd w:val="clear" w:color="F2F2F2" w:fill="FFFFFF"/>
            <w:noWrap/>
            <w:vAlign w:val="bottom"/>
            <w:hideMark/>
          </w:tcPr>
          <w:p w14:paraId="21EA9A6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170</w:t>
            </w:r>
          </w:p>
        </w:tc>
        <w:tc>
          <w:tcPr>
            <w:tcW w:w="999" w:type="dxa"/>
            <w:tcBorders>
              <w:top w:val="single" w:sz="4" w:space="0" w:color="auto"/>
              <w:left w:val="nil"/>
              <w:bottom w:val="single" w:sz="4" w:space="0" w:color="auto"/>
              <w:right w:val="single" w:sz="4" w:space="0" w:color="auto"/>
            </w:tcBorders>
            <w:shd w:val="clear" w:color="F2F2F2" w:fill="FFFFFF"/>
            <w:noWrap/>
            <w:vAlign w:val="bottom"/>
            <w:hideMark/>
          </w:tcPr>
          <w:p w14:paraId="4031551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152</w:t>
            </w:r>
          </w:p>
        </w:tc>
        <w:tc>
          <w:tcPr>
            <w:tcW w:w="1411" w:type="dxa"/>
            <w:tcBorders>
              <w:top w:val="single" w:sz="4" w:space="0" w:color="auto"/>
              <w:left w:val="nil"/>
              <w:bottom w:val="single" w:sz="4" w:space="0" w:color="auto"/>
              <w:right w:val="single" w:sz="4" w:space="0" w:color="auto"/>
            </w:tcBorders>
            <w:shd w:val="clear" w:color="F2F2F2" w:fill="F8CBAD"/>
            <w:noWrap/>
            <w:vAlign w:val="bottom"/>
            <w:hideMark/>
          </w:tcPr>
          <w:p w14:paraId="3F99B1F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-10,59</w:t>
            </w:r>
          </w:p>
        </w:tc>
        <w:tc>
          <w:tcPr>
            <w:tcW w:w="1276" w:type="dxa"/>
            <w:tcBorders>
              <w:top w:val="single" w:sz="4" w:space="0" w:color="auto"/>
              <w:left w:val="nil"/>
              <w:bottom w:val="single" w:sz="4" w:space="0" w:color="auto"/>
              <w:right w:val="single" w:sz="4" w:space="0" w:color="auto"/>
            </w:tcBorders>
            <w:shd w:val="clear" w:color="F2F2F2" w:fill="F8CBAD"/>
            <w:noWrap/>
            <w:vAlign w:val="bottom"/>
            <w:hideMark/>
          </w:tcPr>
          <w:p w14:paraId="064C1D9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47,46%</w:t>
            </w:r>
          </w:p>
        </w:tc>
        <w:tc>
          <w:tcPr>
            <w:tcW w:w="1540" w:type="dxa"/>
            <w:tcBorders>
              <w:top w:val="single" w:sz="4" w:space="0" w:color="auto"/>
              <w:left w:val="nil"/>
              <w:bottom w:val="single" w:sz="4" w:space="0" w:color="auto"/>
              <w:right w:val="single" w:sz="4" w:space="0" w:color="auto"/>
            </w:tcBorders>
            <w:shd w:val="clear" w:color="000000" w:fill="C6E0B4"/>
            <w:vAlign w:val="center"/>
            <w:hideMark/>
          </w:tcPr>
          <w:p w14:paraId="311784F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1,89</w:t>
            </w:r>
          </w:p>
        </w:tc>
        <w:tc>
          <w:tcPr>
            <w:tcW w:w="1578" w:type="dxa"/>
            <w:tcBorders>
              <w:top w:val="single" w:sz="4" w:space="0" w:color="auto"/>
              <w:left w:val="single" w:sz="4" w:space="0" w:color="auto"/>
              <w:bottom w:val="single" w:sz="4" w:space="0" w:color="auto"/>
              <w:right w:val="nil"/>
            </w:tcBorders>
            <w:shd w:val="clear" w:color="000000" w:fill="C6E0B4"/>
            <w:noWrap/>
            <w:vAlign w:val="bottom"/>
            <w:hideMark/>
          </w:tcPr>
          <w:p w14:paraId="6E55D00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6D1A688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18,40%</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2928975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154313D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95DD9A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single" w:sz="4" w:space="0" w:color="auto"/>
              <w:left w:val="nil"/>
              <w:bottom w:val="single" w:sz="4" w:space="0" w:color="auto"/>
              <w:right w:val="single" w:sz="4" w:space="0" w:color="auto"/>
            </w:tcBorders>
            <w:shd w:val="clear" w:color="F2F2F2" w:fill="FFE699"/>
            <w:noWrap/>
            <w:vAlign w:val="bottom"/>
            <w:hideMark/>
          </w:tcPr>
          <w:p w14:paraId="3073C9B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13</w:t>
            </w:r>
          </w:p>
        </w:tc>
      </w:tr>
      <w:tr w:rsidR="00917F32" w:rsidRPr="006E6FF5" w14:paraId="25BF525A" w14:textId="77777777" w:rsidTr="001328FC">
        <w:trPr>
          <w:trHeight w:val="290"/>
        </w:trPr>
        <w:tc>
          <w:tcPr>
            <w:tcW w:w="2269"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11F0B86D"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Szubsk Duży</w:t>
            </w:r>
          </w:p>
        </w:tc>
        <w:tc>
          <w:tcPr>
            <w:tcW w:w="1134" w:type="dxa"/>
            <w:tcBorders>
              <w:top w:val="single" w:sz="4" w:space="0" w:color="auto"/>
              <w:left w:val="nil"/>
              <w:bottom w:val="single" w:sz="4" w:space="0" w:color="auto"/>
              <w:right w:val="single" w:sz="4" w:space="0" w:color="auto"/>
            </w:tcBorders>
            <w:shd w:val="clear" w:color="F2F2F2" w:fill="FFFFFF"/>
            <w:noWrap/>
            <w:vAlign w:val="bottom"/>
            <w:hideMark/>
          </w:tcPr>
          <w:p w14:paraId="5ADFEDE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128</w:t>
            </w:r>
          </w:p>
        </w:tc>
        <w:tc>
          <w:tcPr>
            <w:tcW w:w="999" w:type="dxa"/>
            <w:tcBorders>
              <w:top w:val="single" w:sz="4" w:space="0" w:color="auto"/>
              <w:left w:val="nil"/>
              <w:bottom w:val="single" w:sz="4" w:space="0" w:color="auto"/>
              <w:right w:val="single" w:sz="4" w:space="0" w:color="auto"/>
            </w:tcBorders>
            <w:shd w:val="clear" w:color="F2F2F2" w:fill="FFFFFF"/>
            <w:noWrap/>
            <w:vAlign w:val="bottom"/>
            <w:hideMark/>
          </w:tcPr>
          <w:p w14:paraId="5BB5F17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126</w:t>
            </w:r>
          </w:p>
        </w:tc>
        <w:tc>
          <w:tcPr>
            <w:tcW w:w="1411" w:type="dxa"/>
            <w:tcBorders>
              <w:top w:val="single" w:sz="4" w:space="0" w:color="auto"/>
              <w:left w:val="nil"/>
              <w:bottom w:val="single" w:sz="4" w:space="0" w:color="auto"/>
              <w:right w:val="single" w:sz="4" w:space="0" w:color="auto"/>
            </w:tcBorders>
            <w:shd w:val="clear" w:color="F2F2F2" w:fill="C6E0B4"/>
            <w:noWrap/>
            <w:vAlign w:val="bottom"/>
            <w:hideMark/>
          </w:tcPr>
          <w:p w14:paraId="6DFD071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-1,56</w:t>
            </w:r>
          </w:p>
        </w:tc>
        <w:tc>
          <w:tcPr>
            <w:tcW w:w="1276" w:type="dxa"/>
            <w:tcBorders>
              <w:top w:val="single" w:sz="4" w:space="0" w:color="auto"/>
              <w:left w:val="nil"/>
              <w:bottom w:val="single" w:sz="4" w:space="0" w:color="auto"/>
              <w:right w:val="single" w:sz="4" w:space="0" w:color="auto"/>
            </w:tcBorders>
            <w:shd w:val="clear" w:color="F2F2F2" w:fill="FFE699"/>
            <w:noWrap/>
            <w:vAlign w:val="bottom"/>
            <w:hideMark/>
          </w:tcPr>
          <w:p w14:paraId="1F060BA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55,16%</w:t>
            </w:r>
          </w:p>
        </w:tc>
        <w:tc>
          <w:tcPr>
            <w:tcW w:w="1540" w:type="dxa"/>
            <w:tcBorders>
              <w:top w:val="single" w:sz="4" w:space="0" w:color="auto"/>
              <w:left w:val="nil"/>
              <w:bottom w:val="single" w:sz="4" w:space="0" w:color="auto"/>
              <w:right w:val="single" w:sz="4" w:space="0" w:color="auto"/>
            </w:tcBorders>
            <w:shd w:val="clear" w:color="000000" w:fill="C6E0B4"/>
            <w:vAlign w:val="center"/>
            <w:hideMark/>
          </w:tcPr>
          <w:p w14:paraId="45F9906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3,78</w:t>
            </w:r>
          </w:p>
        </w:tc>
        <w:tc>
          <w:tcPr>
            <w:tcW w:w="1578" w:type="dxa"/>
            <w:tcBorders>
              <w:top w:val="single" w:sz="4" w:space="0" w:color="auto"/>
              <w:left w:val="single" w:sz="4" w:space="0" w:color="auto"/>
              <w:bottom w:val="single" w:sz="4" w:space="0" w:color="auto"/>
              <w:right w:val="nil"/>
            </w:tcBorders>
            <w:shd w:val="clear" w:color="000000" w:fill="C6E0B4"/>
            <w:noWrap/>
            <w:vAlign w:val="bottom"/>
            <w:hideMark/>
          </w:tcPr>
          <w:p w14:paraId="1224D87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2A91376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18,30%</w:t>
            </w:r>
          </w:p>
        </w:tc>
        <w:tc>
          <w:tcPr>
            <w:tcW w:w="1275" w:type="dxa"/>
            <w:tcBorders>
              <w:top w:val="single" w:sz="4" w:space="0" w:color="auto"/>
              <w:left w:val="nil"/>
              <w:bottom w:val="single" w:sz="4" w:space="0" w:color="auto"/>
              <w:right w:val="single" w:sz="4" w:space="0" w:color="auto"/>
            </w:tcBorders>
            <w:shd w:val="clear" w:color="FFEB9C" w:fill="FFEB9C"/>
            <w:noWrap/>
            <w:vAlign w:val="bottom"/>
            <w:hideMark/>
          </w:tcPr>
          <w:p w14:paraId="2007530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5408B02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6C5B5B2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single" w:sz="4" w:space="0" w:color="auto"/>
              <w:left w:val="nil"/>
              <w:bottom w:val="single" w:sz="4" w:space="0" w:color="auto"/>
              <w:right w:val="single" w:sz="4" w:space="0" w:color="auto"/>
            </w:tcBorders>
            <w:shd w:val="clear" w:color="F2F2F2" w:fill="C6E0B4"/>
            <w:noWrap/>
            <w:vAlign w:val="bottom"/>
            <w:hideMark/>
          </w:tcPr>
          <w:p w14:paraId="07C4D8D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w:t>
            </w:r>
          </w:p>
        </w:tc>
      </w:tr>
      <w:tr w:rsidR="00917F32" w:rsidRPr="006E6FF5" w14:paraId="2D5C3679" w14:textId="77777777" w:rsidTr="001328FC">
        <w:trPr>
          <w:trHeight w:val="290"/>
        </w:trPr>
        <w:tc>
          <w:tcPr>
            <w:tcW w:w="2269" w:type="dxa"/>
            <w:tcBorders>
              <w:top w:val="single" w:sz="4" w:space="0" w:color="auto"/>
              <w:left w:val="single" w:sz="4" w:space="0" w:color="auto"/>
              <w:bottom w:val="single" w:sz="4" w:space="0" w:color="auto"/>
              <w:right w:val="single" w:sz="4" w:space="0" w:color="auto"/>
            </w:tcBorders>
            <w:shd w:val="clear" w:color="F2F2F2" w:fill="FFFFFF"/>
            <w:vAlign w:val="bottom"/>
            <w:hideMark/>
          </w:tcPr>
          <w:p w14:paraId="37C6FA8C"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Szubsk Towarzystwo</w:t>
            </w:r>
          </w:p>
        </w:tc>
        <w:tc>
          <w:tcPr>
            <w:tcW w:w="1134" w:type="dxa"/>
            <w:tcBorders>
              <w:top w:val="single" w:sz="4" w:space="0" w:color="auto"/>
              <w:left w:val="nil"/>
              <w:bottom w:val="single" w:sz="4" w:space="0" w:color="auto"/>
              <w:right w:val="single" w:sz="4" w:space="0" w:color="auto"/>
            </w:tcBorders>
            <w:shd w:val="clear" w:color="F2F2F2" w:fill="FFFFFF"/>
            <w:noWrap/>
            <w:vAlign w:val="bottom"/>
            <w:hideMark/>
          </w:tcPr>
          <w:p w14:paraId="67869B0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54</w:t>
            </w:r>
          </w:p>
        </w:tc>
        <w:tc>
          <w:tcPr>
            <w:tcW w:w="999" w:type="dxa"/>
            <w:tcBorders>
              <w:top w:val="single" w:sz="4" w:space="0" w:color="auto"/>
              <w:left w:val="nil"/>
              <w:bottom w:val="single" w:sz="4" w:space="0" w:color="auto"/>
              <w:right w:val="single" w:sz="4" w:space="0" w:color="auto"/>
            </w:tcBorders>
            <w:shd w:val="clear" w:color="F2F2F2" w:fill="FFFFFF"/>
            <w:noWrap/>
            <w:vAlign w:val="bottom"/>
            <w:hideMark/>
          </w:tcPr>
          <w:p w14:paraId="31F586E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58</w:t>
            </w:r>
          </w:p>
        </w:tc>
        <w:tc>
          <w:tcPr>
            <w:tcW w:w="1411" w:type="dxa"/>
            <w:tcBorders>
              <w:top w:val="single" w:sz="4" w:space="0" w:color="auto"/>
              <w:left w:val="nil"/>
              <w:bottom w:val="single" w:sz="4" w:space="0" w:color="auto"/>
              <w:right w:val="single" w:sz="4" w:space="0" w:color="auto"/>
            </w:tcBorders>
            <w:shd w:val="clear" w:color="F2F2F2" w:fill="FFE699"/>
            <w:noWrap/>
            <w:vAlign w:val="bottom"/>
            <w:hideMark/>
          </w:tcPr>
          <w:p w14:paraId="33440F7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7,41</w:t>
            </w:r>
          </w:p>
        </w:tc>
        <w:tc>
          <w:tcPr>
            <w:tcW w:w="1276" w:type="dxa"/>
            <w:tcBorders>
              <w:top w:val="single" w:sz="4" w:space="0" w:color="auto"/>
              <w:left w:val="nil"/>
              <w:bottom w:val="single" w:sz="4" w:space="0" w:color="auto"/>
              <w:right w:val="single" w:sz="4" w:space="0" w:color="auto"/>
            </w:tcBorders>
            <w:shd w:val="clear" w:color="F2F2F2" w:fill="FFE699"/>
            <w:noWrap/>
            <w:vAlign w:val="bottom"/>
            <w:hideMark/>
          </w:tcPr>
          <w:p w14:paraId="5512757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55,16%</w:t>
            </w:r>
          </w:p>
        </w:tc>
        <w:tc>
          <w:tcPr>
            <w:tcW w:w="1540" w:type="dxa"/>
            <w:tcBorders>
              <w:top w:val="single" w:sz="4" w:space="0" w:color="auto"/>
              <w:left w:val="nil"/>
              <w:bottom w:val="single" w:sz="4" w:space="0" w:color="auto"/>
              <w:right w:val="single" w:sz="4" w:space="0" w:color="auto"/>
            </w:tcBorders>
            <w:shd w:val="clear" w:color="000000" w:fill="C6E0B4"/>
            <w:vAlign w:val="center"/>
            <w:hideMark/>
          </w:tcPr>
          <w:p w14:paraId="40312E4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1,89</w:t>
            </w:r>
          </w:p>
        </w:tc>
        <w:tc>
          <w:tcPr>
            <w:tcW w:w="1578" w:type="dxa"/>
            <w:tcBorders>
              <w:top w:val="single" w:sz="4" w:space="0" w:color="auto"/>
              <w:left w:val="single" w:sz="4" w:space="0" w:color="auto"/>
              <w:bottom w:val="single" w:sz="4" w:space="0" w:color="auto"/>
              <w:right w:val="nil"/>
            </w:tcBorders>
            <w:shd w:val="clear" w:color="000000" w:fill="C6E0B4"/>
            <w:noWrap/>
            <w:vAlign w:val="bottom"/>
            <w:hideMark/>
          </w:tcPr>
          <w:p w14:paraId="39C8F75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6DC4A7A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19,00%</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2C5FB71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6EFF9A8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5ED867E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single" w:sz="4" w:space="0" w:color="auto"/>
              <w:left w:val="nil"/>
              <w:bottom w:val="single" w:sz="4" w:space="0" w:color="auto"/>
              <w:right w:val="single" w:sz="4" w:space="0" w:color="auto"/>
            </w:tcBorders>
            <w:shd w:val="clear" w:color="F2F2F2" w:fill="C6E0B4"/>
            <w:noWrap/>
            <w:vAlign w:val="bottom"/>
            <w:hideMark/>
          </w:tcPr>
          <w:p w14:paraId="2F17567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w:t>
            </w:r>
          </w:p>
        </w:tc>
      </w:tr>
      <w:tr w:rsidR="00917F32" w:rsidRPr="006E6FF5" w14:paraId="260654AA" w14:textId="77777777" w:rsidTr="001328FC">
        <w:trPr>
          <w:trHeight w:val="290"/>
        </w:trPr>
        <w:tc>
          <w:tcPr>
            <w:tcW w:w="2269"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45A27861"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Teresin</w:t>
            </w:r>
          </w:p>
        </w:tc>
        <w:tc>
          <w:tcPr>
            <w:tcW w:w="1134" w:type="dxa"/>
            <w:tcBorders>
              <w:top w:val="single" w:sz="4" w:space="0" w:color="auto"/>
              <w:left w:val="nil"/>
              <w:bottom w:val="single" w:sz="4" w:space="0" w:color="auto"/>
              <w:right w:val="single" w:sz="4" w:space="0" w:color="auto"/>
            </w:tcBorders>
            <w:shd w:val="clear" w:color="F2F2F2" w:fill="FFFFFF"/>
            <w:noWrap/>
            <w:vAlign w:val="bottom"/>
            <w:hideMark/>
          </w:tcPr>
          <w:p w14:paraId="04F0F27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226</w:t>
            </w:r>
          </w:p>
        </w:tc>
        <w:tc>
          <w:tcPr>
            <w:tcW w:w="999" w:type="dxa"/>
            <w:tcBorders>
              <w:top w:val="single" w:sz="4" w:space="0" w:color="auto"/>
              <w:left w:val="nil"/>
              <w:bottom w:val="single" w:sz="4" w:space="0" w:color="auto"/>
              <w:right w:val="single" w:sz="4" w:space="0" w:color="auto"/>
            </w:tcBorders>
            <w:shd w:val="clear" w:color="F2F2F2" w:fill="FFFFFF"/>
            <w:noWrap/>
            <w:vAlign w:val="bottom"/>
            <w:hideMark/>
          </w:tcPr>
          <w:p w14:paraId="2A926ED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194</w:t>
            </w:r>
          </w:p>
        </w:tc>
        <w:tc>
          <w:tcPr>
            <w:tcW w:w="1411" w:type="dxa"/>
            <w:tcBorders>
              <w:top w:val="single" w:sz="4" w:space="0" w:color="auto"/>
              <w:left w:val="nil"/>
              <w:bottom w:val="single" w:sz="4" w:space="0" w:color="auto"/>
              <w:right w:val="single" w:sz="4" w:space="0" w:color="auto"/>
            </w:tcBorders>
            <w:shd w:val="clear" w:color="F2F2F2" w:fill="F8CBAD"/>
            <w:noWrap/>
            <w:vAlign w:val="bottom"/>
            <w:hideMark/>
          </w:tcPr>
          <w:p w14:paraId="4EB1E22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-14,16</w:t>
            </w:r>
          </w:p>
        </w:tc>
        <w:tc>
          <w:tcPr>
            <w:tcW w:w="1276" w:type="dxa"/>
            <w:tcBorders>
              <w:top w:val="single" w:sz="4" w:space="0" w:color="auto"/>
              <w:left w:val="nil"/>
              <w:bottom w:val="single" w:sz="4" w:space="0" w:color="auto"/>
              <w:right w:val="single" w:sz="4" w:space="0" w:color="auto"/>
            </w:tcBorders>
            <w:shd w:val="clear" w:color="F2F2F2" w:fill="F8CBAD"/>
            <w:noWrap/>
            <w:vAlign w:val="bottom"/>
            <w:hideMark/>
          </w:tcPr>
          <w:p w14:paraId="193DBBA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51,06%</w:t>
            </w:r>
          </w:p>
        </w:tc>
        <w:tc>
          <w:tcPr>
            <w:tcW w:w="1540" w:type="dxa"/>
            <w:tcBorders>
              <w:top w:val="single" w:sz="4" w:space="0" w:color="auto"/>
              <w:left w:val="nil"/>
              <w:bottom w:val="single" w:sz="4" w:space="0" w:color="auto"/>
              <w:right w:val="single" w:sz="4" w:space="0" w:color="auto"/>
            </w:tcBorders>
            <w:shd w:val="clear" w:color="000000" w:fill="C6E0B4"/>
            <w:vAlign w:val="center"/>
            <w:hideMark/>
          </w:tcPr>
          <w:p w14:paraId="7055969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1,89</w:t>
            </w:r>
          </w:p>
        </w:tc>
        <w:tc>
          <w:tcPr>
            <w:tcW w:w="1578" w:type="dxa"/>
            <w:tcBorders>
              <w:top w:val="single" w:sz="4" w:space="0" w:color="auto"/>
              <w:left w:val="single" w:sz="4" w:space="0" w:color="auto"/>
              <w:bottom w:val="single" w:sz="4" w:space="0" w:color="auto"/>
              <w:right w:val="nil"/>
            </w:tcBorders>
            <w:shd w:val="clear" w:color="000000" w:fill="C6E0B4"/>
            <w:noWrap/>
            <w:vAlign w:val="bottom"/>
            <w:hideMark/>
          </w:tcPr>
          <w:p w14:paraId="1E7F084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0A6D7B8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18,60%</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252823C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0FF0BB2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14842F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single" w:sz="4" w:space="0" w:color="auto"/>
              <w:left w:val="nil"/>
              <w:bottom w:val="single" w:sz="4" w:space="0" w:color="auto"/>
              <w:right w:val="single" w:sz="4" w:space="0" w:color="auto"/>
            </w:tcBorders>
            <w:shd w:val="clear" w:color="F2F2F2" w:fill="FFE699"/>
            <w:noWrap/>
            <w:vAlign w:val="bottom"/>
            <w:hideMark/>
          </w:tcPr>
          <w:p w14:paraId="6C3E1DB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13</w:t>
            </w:r>
          </w:p>
        </w:tc>
      </w:tr>
      <w:tr w:rsidR="00917F32" w:rsidRPr="006E6FF5" w14:paraId="714696C3" w14:textId="77777777" w:rsidTr="00917F32">
        <w:trPr>
          <w:trHeight w:val="290"/>
        </w:trPr>
        <w:tc>
          <w:tcPr>
            <w:tcW w:w="2269"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5BEAC251"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Witów</w:t>
            </w:r>
          </w:p>
        </w:tc>
        <w:tc>
          <w:tcPr>
            <w:tcW w:w="1134" w:type="dxa"/>
            <w:tcBorders>
              <w:top w:val="single" w:sz="4" w:space="0" w:color="auto"/>
              <w:left w:val="nil"/>
              <w:bottom w:val="single" w:sz="4" w:space="0" w:color="auto"/>
              <w:right w:val="single" w:sz="4" w:space="0" w:color="auto"/>
            </w:tcBorders>
            <w:shd w:val="clear" w:color="F2F2F2" w:fill="FFFFFF"/>
            <w:noWrap/>
            <w:vAlign w:val="bottom"/>
            <w:hideMark/>
          </w:tcPr>
          <w:p w14:paraId="582D7EF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145</w:t>
            </w:r>
          </w:p>
        </w:tc>
        <w:tc>
          <w:tcPr>
            <w:tcW w:w="999" w:type="dxa"/>
            <w:tcBorders>
              <w:top w:val="single" w:sz="4" w:space="0" w:color="auto"/>
              <w:left w:val="nil"/>
              <w:bottom w:val="single" w:sz="4" w:space="0" w:color="auto"/>
              <w:right w:val="single" w:sz="4" w:space="0" w:color="auto"/>
            </w:tcBorders>
            <w:shd w:val="clear" w:color="F2F2F2" w:fill="FFFFFF"/>
            <w:noWrap/>
            <w:vAlign w:val="bottom"/>
            <w:hideMark/>
          </w:tcPr>
          <w:p w14:paraId="646D500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132</w:t>
            </w:r>
          </w:p>
        </w:tc>
        <w:tc>
          <w:tcPr>
            <w:tcW w:w="1411" w:type="dxa"/>
            <w:tcBorders>
              <w:top w:val="single" w:sz="4" w:space="0" w:color="auto"/>
              <w:left w:val="nil"/>
              <w:bottom w:val="single" w:sz="4" w:space="0" w:color="auto"/>
              <w:right w:val="single" w:sz="4" w:space="0" w:color="auto"/>
            </w:tcBorders>
            <w:shd w:val="clear" w:color="F2F2F2" w:fill="FFE699"/>
            <w:noWrap/>
            <w:vAlign w:val="bottom"/>
            <w:hideMark/>
          </w:tcPr>
          <w:p w14:paraId="50A5000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-8,97</w:t>
            </w:r>
          </w:p>
        </w:tc>
        <w:tc>
          <w:tcPr>
            <w:tcW w:w="1276" w:type="dxa"/>
            <w:tcBorders>
              <w:top w:val="single" w:sz="4" w:space="0" w:color="auto"/>
              <w:left w:val="nil"/>
              <w:bottom w:val="single" w:sz="4" w:space="0" w:color="auto"/>
              <w:right w:val="single" w:sz="4" w:space="0" w:color="auto"/>
            </w:tcBorders>
            <w:shd w:val="clear" w:color="F2F2F2" w:fill="FFE699"/>
            <w:noWrap/>
            <w:vAlign w:val="bottom"/>
            <w:hideMark/>
          </w:tcPr>
          <w:p w14:paraId="64FDF4D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55,16%</w:t>
            </w:r>
          </w:p>
        </w:tc>
        <w:tc>
          <w:tcPr>
            <w:tcW w:w="1540" w:type="dxa"/>
            <w:tcBorders>
              <w:top w:val="single" w:sz="4" w:space="0" w:color="auto"/>
              <w:left w:val="nil"/>
              <w:bottom w:val="single" w:sz="4" w:space="0" w:color="auto"/>
              <w:right w:val="single" w:sz="4" w:space="0" w:color="auto"/>
            </w:tcBorders>
            <w:shd w:val="clear" w:color="000000" w:fill="C6E0B4"/>
            <w:vAlign w:val="center"/>
            <w:hideMark/>
          </w:tcPr>
          <w:p w14:paraId="7DA5B03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3,78</w:t>
            </w:r>
          </w:p>
        </w:tc>
        <w:tc>
          <w:tcPr>
            <w:tcW w:w="1578" w:type="dxa"/>
            <w:tcBorders>
              <w:top w:val="single" w:sz="4" w:space="0" w:color="auto"/>
              <w:left w:val="single" w:sz="4" w:space="0" w:color="auto"/>
              <w:bottom w:val="single" w:sz="4" w:space="0" w:color="auto"/>
              <w:right w:val="nil"/>
            </w:tcBorders>
            <w:shd w:val="clear" w:color="000000" w:fill="C6E0B4"/>
            <w:noWrap/>
            <w:vAlign w:val="bottom"/>
            <w:hideMark/>
          </w:tcPr>
          <w:p w14:paraId="58663A5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64D83DD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22,70%</w:t>
            </w:r>
          </w:p>
        </w:tc>
        <w:tc>
          <w:tcPr>
            <w:tcW w:w="1275" w:type="dxa"/>
            <w:tcBorders>
              <w:top w:val="single" w:sz="4" w:space="0" w:color="auto"/>
              <w:left w:val="nil"/>
              <w:bottom w:val="single" w:sz="4" w:space="0" w:color="auto"/>
              <w:right w:val="single" w:sz="4" w:space="0" w:color="auto"/>
            </w:tcBorders>
            <w:shd w:val="clear" w:color="FFEB9C" w:fill="FFEB9C"/>
            <w:noWrap/>
            <w:vAlign w:val="bottom"/>
            <w:hideMark/>
          </w:tcPr>
          <w:p w14:paraId="56CA64E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FFEB9C" w:fill="FFEB9C"/>
            <w:noWrap/>
            <w:vAlign w:val="bottom"/>
            <w:hideMark/>
          </w:tcPr>
          <w:p w14:paraId="2D8F054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FFEB9C" w:fill="FFEB9C"/>
            <w:noWrap/>
            <w:vAlign w:val="bottom"/>
            <w:hideMark/>
          </w:tcPr>
          <w:p w14:paraId="62C9860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992" w:type="dxa"/>
            <w:tcBorders>
              <w:top w:val="single" w:sz="4" w:space="0" w:color="auto"/>
              <w:left w:val="nil"/>
              <w:bottom w:val="single" w:sz="4" w:space="0" w:color="auto"/>
              <w:right w:val="single" w:sz="4" w:space="0" w:color="auto"/>
            </w:tcBorders>
            <w:shd w:val="clear" w:color="F2F2F2" w:fill="FFE699"/>
            <w:noWrap/>
            <w:vAlign w:val="bottom"/>
            <w:hideMark/>
          </w:tcPr>
          <w:p w14:paraId="682868B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13</w:t>
            </w:r>
          </w:p>
        </w:tc>
      </w:tr>
      <w:tr w:rsidR="00917F32" w:rsidRPr="006E6FF5" w14:paraId="0BA1CEE3" w14:textId="77777777" w:rsidTr="001328FC">
        <w:trPr>
          <w:trHeight w:val="290"/>
        </w:trPr>
        <w:tc>
          <w:tcPr>
            <w:tcW w:w="2269"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3C12A5F6"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Wola Nowska</w:t>
            </w:r>
          </w:p>
        </w:tc>
        <w:tc>
          <w:tcPr>
            <w:tcW w:w="1134" w:type="dxa"/>
            <w:tcBorders>
              <w:top w:val="single" w:sz="4" w:space="0" w:color="auto"/>
              <w:left w:val="nil"/>
              <w:bottom w:val="single" w:sz="4" w:space="0" w:color="auto"/>
              <w:right w:val="single" w:sz="4" w:space="0" w:color="auto"/>
            </w:tcBorders>
            <w:shd w:val="clear" w:color="F2F2F2" w:fill="FFFFFF"/>
            <w:noWrap/>
            <w:vAlign w:val="bottom"/>
            <w:hideMark/>
          </w:tcPr>
          <w:p w14:paraId="3275903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195</w:t>
            </w:r>
          </w:p>
        </w:tc>
        <w:tc>
          <w:tcPr>
            <w:tcW w:w="999" w:type="dxa"/>
            <w:tcBorders>
              <w:top w:val="single" w:sz="4" w:space="0" w:color="auto"/>
              <w:left w:val="nil"/>
              <w:bottom w:val="single" w:sz="4" w:space="0" w:color="auto"/>
              <w:right w:val="single" w:sz="4" w:space="0" w:color="auto"/>
            </w:tcBorders>
            <w:shd w:val="clear" w:color="F2F2F2" w:fill="FFFFFF"/>
            <w:noWrap/>
            <w:vAlign w:val="bottom"/>
            <w:hideMark/>
          </w:tcPr>
          <w:p w14:paraId="632AF44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174</w:t>
            </w:r>
          </w:p>
        </w:tc>
        <w:tc>
          <w:tcPr>
            <w:tcW w:w="1411" w:type="dxa"/>
            <w:tcBorders>
              <w:top w:val="single" w:sz="4" w:space="0" w:color="auto"/>
              <w:left w:val="nil"/>
              <w:bottom w:val="single" w:sz="4" w:space="0" w:color="auto"/>
              <w:right w:val="single" w:sz="4" w:space="0" w:color="auto"/>
            </w:tcBorders>
            <w:shd w:val="clear" w:color="F2F2F2" w:fill="F8CBAD"/>
            <w:noWrap/>
            <w:vAlign w:val="bottom"/>
            <w:hideMark/>
          </w:tcPr>
          <w:p w14:paraId="01EB627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-10,77</w:t>
            </w:r>
          </w:p>
        </w:tc>
        <w:tc>
          <w:tcPr>
            <w:tcW w:w="1276" w:type="dxa"/>
            <w:tcBorders>
              <w:top w:val="single" w:sz="4" w:space="0" w:color="auto"/>
              <w:left w:val="nil"/>
              <w:bottom w:val="single" w:sz="4" w:space="0" w:color="auto"/>
              <w:right w:val="single" w:sz="4" w:space="0" w:color="auto"/>
            </w:tcBorders>
            <w:shd w:val="clear" w:color="F2F2F2" w:fill="F8CBAD"/>
            <w:noWrap/>
            <w:vAlign w:val="bottom"/>
            <w:hideMark/>
          </w:tcPr>
          <w:p w14:paraId="3E2DABC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47,46%</w:t>
            </w:r>
          </w:p>
        </w:tc>
        <w:tc>
          <w:tcPr>
            <w:tcW w:w="1540" w:type="dxa"/>
            <w:tcBorders>
              <w:top w:val="single" w:sz="4" w:space="0" w:color="auto"/>
              <w:left w:val="nil"/>
              <w:bottom w:val="single" w:sz="4" w:space="0" w:color="auto"/>
              <w:right w:val="single" w:sz="4" w:space="0" w:color="auto"/>
            </w:tcBorders>
            <w:shd w:val="clear" w:color="000000" w:fill="C6E0B4"/>
            <w:vAlign w:val="center"/>
            <w:hideMark/>
          </w:tcPr>
          <w:p w14:paraId="7922BEE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3,78</w:t>
            </w:r>
          </w:p>
        </w:tc>
        <w:tc>
          <w:tcPr>
            <w:tcW w:w="1578" w:type="dxa"/>
            <w:tcBorders>
              <w:top w:val="single" w:sz="4" w:space="0" w:color="auto"/>
              <w:left w:val="single" w:sz="4" w:space="0" w:color="auto"/>
              <w:bottom w:val="single" w:sz="4" w:space="0" w:color="auto"/>
              <w:right w:val="nil"/>
            </w:tcBorders>
            <w:shd w:val="clear" w:color="000000" w:fill="C6E0B4"/>
            <w:noWrap/>
            <w:vAlign w:val="bottom"/>
            <w:hideMark/>
          </w:tcPr>
          <w:p w14:paraId="45020F0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7B06CC5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18,40%</w:t>
            </w:r>
          </w:p>
        </w:tc>
        <w:tc>
          <w:tcPr>
            <w:tcW w:w="1275" w:type="dxa"/>
            <w:tcBorders>
              <w:top w:val="single" w:sz="4" w:space="0" w:color="auto"/>
              <w:left w:val="nil"/>
              <w:bottom w:val="single" w:sz="4" w:space="0" w:color="auto"/>
              <w:right w:val="single" w:sz="4" w:space="0" w:color="auto"/>
            </w:tcBorders>
            <w:shd w:val="clear" w:color="FFEB9C" w:fill="FFEB9C"/>
            <w:noWrap/>
            <w:vAlign w:val="bottom"/>
            <w:hideMark/>
          </w:tcPr>
          <w:p w14:paraId="4EDB09A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40E9E9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7FE6ECE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single" w:sz="4" w:space="0" w:color="auto"/>
              <w:left w:val="nil"/>
              <w:bottom w:val="single" w:sz="4" w:space="0" w:color="auto"/>
              <w:right w:val="single" w:sz="4" w:space="0" w:color="auto"/>
            </w:tcBorders>
            <w:shd w:val="clear" w:color="F2F2F2" w:fill="FFE699"/>
            <w:noWrap/>
            <w:vAlign w:val="bottom"/>
            <w:hideMark/>
          </w:tcPr>
          <w:p w14:paraId="591B694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14</w:t>
            </w:r>
          </w:p>
        </w:tc>
      </w:tr>
      <w:tr w:rsidR="00917F32" w:rsidRPr="006E6FF5" w14:paraId="6DF34D5B" w14:textId="77777777" w:rsidTr="001328FC">
        <w:trPr>
          <w:trHeight w:val="290"/>
        </w:trPr>
        <w:tc>
          <w:tcPr>
            <w:tcW w:w="2269"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598A9FFF"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Wychny</w:t>
            </w:r>
          </w:p>
        </w:tc>
        <w:tc>
          <w:tcPr>
            <w:tcW w:w="1134" w:type="dxa"/>
            <w:tcBorders>
              <w:top w:val="single" w:sz="4" w:space="0" w:color="auto"/>
              <w:left w:val="nil"/>
              <w:bottom w:val="single" w:sz="4" w:space="0" w:color="auto"/>
              <w:right w:val="single" w:sz="4" w:space="0" w:color="auto"/>
            </w:tcBorders>
            <w:shd w:val="clear" w:color="F2F2F2" w:fill="FFFFFF"/>
            <w:noWrap/>
            <w:vAlign w:val="bottom"/>
            <w:hideMark/>
          </w:tcPr>
          <w:p w14:paraId="3628E90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110</w:t>
            </w:r>
          </w:p>
        </w:tc>
        <w:tc>
          <w:tcPr>
            <w:tcW w:w="999" w:type="dxa"/>
            <w:tcBorders>
              <w:top w:val="single" w:sz="4" w:space="0" w:color="auto"/>
              <w:left w:val="nil"/>
              <w:bottom w:val="single" w:sz="4" w:space="0" w:color="auto"/>
              <w:right w:val="single" w:sz="4" w:space="0" w:color="auto"/>
            </w:tcBorders>
            <w:shd w:val="clear" w:color="F2F2F2" w:fill="FFFFFF"/>
            <w:noWrap/>
            <w:vAlign w:val="bottom"/>
            <w:hideMark/>
          </w:tcPr>
          <w:p w14:paraId="5A819BB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104</w:t>
            </w:r>
          </w:p>
        </w:tc>
        <w:tc>
          <w:tcPr>
            <w:tcW w:w="1411" w:type="dxa"/>
            <w:tcBorders>
              <w:top w:val="single" w:sz="4" w:space="0" w:color="auto"/>
              <w:left w:val="nil"/>
              <w:bottom w:val="single" w:sz="4" w:space="0" w:color="auto"/>
              <w:right w:val="single" w:sz="4" w:space="0" w:color="auto"/>
            </w:tcBorders>
            <w:shd w:val="clear" w:color="F2F2F2" w:fill="C6E0B4"/>
            <w:noWrap/>
            <w:vAlign w:val="bottom"/>
            <w:hideMark/>
          </w:tcPr>
          <w:p w14:paraId="3940CA2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-5,45</w:t>
            </w:r>
          </w:p>
        </w:tc>
        <w:tc>
          <w:tcPr>
            <w:tcW w:w="1276" w:type="dxa"/>
            <w:tcBorders>
              <w:top w:val="single" w:sz="4" w:space="0" w:color="auto"/>
              <w:left w:val="nil"/>
              <w:bottom w:val="single" w:sz="4" w:space="0" w:color="auto"/>
              <w:right w:val="single" w:sz="4" w:space="0" w:color="auto"/>
            </w:tcBorders>
            <w:shd w:val="clear" w:color="F2F2F2" w:fill="C6E0B4"/>
            <w:noWrap/>
            <w:vAlign w:val="bottom"/>
            <w:hideMark/>
          </w:tcPr>
          <w:p w14:paraId="0598E76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57,21%</w:t>
            </w:r>
          </w:p>
        </w:tc>
        <w:tc>
          <w:tcPr>
            <w:tcW w:w="1540" w:type="dxa"/>
            <w:tcBorders>
              <w:top w:val="single" w:sz="4" w:space="0" w:color="auto"/>
              <w:left w:val="nil"/>
              <w:bottom w:val="single" w:sz="4" w:space="0" w:color="auto"/>
              <w:right w:val="single" w:sz="4" w:space="0" w:color="auto"/>
            </w:tcBorders>
            <w:shd w:val="clear" w:color="000000" w:fill="C6E0B4"/>
            <w:vAlign w:val="center"/>
            <w:hideMark/>
          </w:tcPr>
          <w:p w14:paraId="55F1559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1,89</w:t>
            </w:r>
          </w:p>
        </w:tc>
        <w:tc>
          <w:tcPr>
            <w:tcW w:w="1578" w:type="dxa"/>
            <w:tcBorders>
              <w:top w:val="single" w:sz="4" w:space="0" w:color="auto"/>
              <w:left w:val="single" w:sz="4" w:space="0" w:color="auto"/>
              <w:bottom w:val="single" w:sz="4" w:space="0" w:color="auto"/>
              <w:right w:val="nil"/>
            </w:tcBorders>
            <w:shd w:val="clear" w:color="000000" w:fill="C6E0B4"/>
            <w:noWrap/>
            <w:vAlign w:val="bottom"/>
            <w:hideMark/>
          </w:tcPr>
          <w:p w14:paraId="266C9A0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2F5CFBA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18,30%</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1D2EB64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41339E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10A2102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single" w:sz="4" w:space="0" w:color="auto"/>
              <w:left w:val="nil"/>
              <w:bottom w:val="single" w:sz="4" w:space="0" w:color="auto"/>
              <w:right w:val="single" w:sz="4" w:space="0" w:color="auto"/>
            </w:tcBorders>
            <w:shd w:val="clear" w:color="F2F2F2" w:fill="C6E0B4"/>
            <w:noWrap/>
            <w:vAlign w:val="bottom"/>
            <w:hideMark/>
          </w:tcPr>
          <w:p w14:paraId="3452F7A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8</w:t>
            </w:r>
          </w:p>
        </w:tc>
      </w:tr>
      <w:tr w:rsidR="00917F32" w:rsidRPr="006E6FF5" w14:paraId="27EB4044" w14:textId="77777777" w:rsidTr="001328FC">
        <w:trPr>
          <w:trHeight w:val="290"/>
        </w:trPr>
        <w:tc>
          <w:tcPr>
            <w:tcW w:w="2269"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29EB82C9"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Wymysłów</w:t>
            </w:r>
          </w:p>
        </w:tc>
        <w:tc>
          <w:tcPr>
            <w:tcW w:w="1134" w:type="dxa"/>
            <w:tcBorders>
              <w:top w:val="single" w:sz="4" w:space="0" w:color="auto"/>
              <w:left w:val="nil"/>
              <w:bottom w:val="single" w:sz="4" w:space="0" w:color="auto"/>
              <w:right w:val="single" w:sz="4" w:space="0" w:color="auto"/>
            </w:tcBorders>
            <w:shd w:val="clear" w:color="F2F2F2" w:fill="FFFFFF"/>
            <w:noWrap/>
            <w:vAlign w:val="bottom"/>
            <w:hideMark/>
          </w:tcPr>
          <w:p w14:paraId="4B05340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193</w:t>
            </w:r>
          </w:p>
        </w:tc>
        <w:tc>
          <w:tcPr>
            <w:tcW w:w="999" w:type="dxa"/>
            <w:tcBorders>
              <w:top w:val="single" w:sz="4" w:space="0" w:color="auto"/>
              <w:left w:val="nil"/>
              <w:bottom w:val="single" w:sz="4" w:space="0" w:color="auto"/>
              <w:right w:val="single" w:sz="4" w:space="0" w:color="auto"/>
            </w:tcBorders>
            <w:shd w:val="clear" w:color="F2F2F2" w:fill="FFFFFF"/>
            <w:noWrap/>
            <w:vAlign w:val="bottom"/>
            <w:hideMark/>
          </w:tcPr>
          <w:p w14:paraId="21AAF18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183</w:t>
            </w:r>
          </w:p>
        </w:tc>
        <w:tc>
          <w:tcPr>
            <w:tcW w:w="1411" w:type="dxa"/>
            <w:tcBorders>
              <w:top w:val="single" w:sz="4" w:space="0" w:color="auto"/>
              <w:left w:val="nil"/>
              <w:bottom w:val="single" w:sz="4" w:space="0" w:color="auto"/>
              <w:right w:val="single" w:sz="4" w:space="0" w:color="auto"/>
            </w:tcBorders>
            <w:shd w:val="clear" w:color="F2F2F2" w:fill="C6E0B4"/>
            <w:noWrap/>
            <w:vAlign w:val="bottom"/>
            <w:hideMark/>
          </w:tcPr>
          <w:p w14:paraId="360085D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-5,18</w:t>
            </w:r>
          </w:p>
        </w:tc>
        <w:tc>
          <w:tcPr>
            <w:tcW w:w="1276" w:type="dxa"/>
            <w:tcBorders>
              <w:top w:val="single" w:sz="4" w:space="0" w:color="auto"/>
              <w:left w:val="nil"/>
              <w:bottom w:val="single" w:sz="4" w:space="0" w:color="auto"/>
              <w:right w:val="single" w:sz="4" w:space="0" w:color="auto"/>
            </w:tcBorders>
            <w:shd w:val="clear" w:color="F2F2F2" w:fill="C6E0B4"/>
            <w:noWrap/>
            <w:vAlign w:val="bottom"/>
            <w:hideMark/>
          </w:tcPr>
          <w:p w14:paraId="4D1C1D2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62,32%</w:t>
            </w:r>
          </w:p>
        </w:tc>
        <w:tc>
          <w:tcPr>
            <w:tcW w:w="1540" w:type="dxa"/>
            <w:tcBorders>
              <w:top w:val="single" w:sz="4" w:space="0" w:color="auto"/>
              <w:left w:val="nil"/>
              <w:bottom w:val="single" w:sz="4" w:space="0" w:color="auto"/>
              <w:right w:val="single" w:sz="4" w:space="0" w:color="auto"/>
            </w:tcBorders>
            <w:shd w:val="clear" w:color="000000" w:fill="C6E0B4"/>
            <w:vAlign w:val="center"/>
            <w:hideMark/>
          </w:tcPr>
          <w:p w14:paraId="4A96CE3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1,89</w:t>
            </w:r>
          </w:p>
        </w:tc>
        <w:tc>
          <w:tcPr>
            <w:tcW w:w="1578" w:type="dxa"/>
            <w:tcBorders>
              <w:top w:val="single" w:sz="4" w:space="0" w:color="auto"/>
              <w:left w:val="single" w:sz="4" w:space="0" w:color="auto"/>
              <w:bottom w:val="single" w:sz="4" w:space="0" w:color="auto"/>
              <w:right w:val="nil"/>
            </w:tcBorders>
            <w:shd w:val="clear" w:color="000000" w:fill="C6E0B4"/>
            <w:noWrap/>
            <w:vAlign w:val="bottom"/>
            <w:hideMark/>
          </w:tcPr>
          <w:p w14:paraId="1671C92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263FC23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18,60%</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770A0C3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5783BD8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740B91C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single" w:sz="4" w:space="0" w:color="auto"/>
              <w:left w:val="nil"/>
              <w:bottom w:val="single" w:sz="4" w:space="0" w:color="auto"/>
              <w:right w:val="single" w:sz="4" w:space="0" w:color="auto"/>
            </w:tcBorders>
            <w:shd w:val="clear" w:color="F2F2F2" w:fill="C6E0B4"/>
            <w:noWrap/>
            <w:vAlign w:val="bottom"/>
            <w:hideMark/>
          </w:tcPr>
          <w:p w14:paraId="7AE46B0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8</w:t>
            </w:r>
          </w:p>
        </w:tc>
      </w:tr>
      <w:tr w:rsidR="00917F32" w:rsidRPr="006E6FF5" w14:paraId="14B03001" w14:textId="77777777" w:rsidTr="001328FC">
        <w:trPr>
          <w:trHeight w:val="290"/>
        </w:trPr>
        <w:tc>
          <w:tcPr>
            <w:tcW w:w="2269"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070D3E42"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Zalesie</w:t>
            </w:r>
          </w:p>
        </w:tc>
        <w:tc>
          <w:tcPr>
            <w:tcW w:w="1134" w:type="dxa"/>
            <w:tcBorders>
              <w:top w:val="single" w:sz="4" w:space="0" w:color="auto"/>
              <w:left w:val="nil"/>
              <w:bottom w:val="single" w:sz="4" w:space="0" w:color="auto"/>
              <w:right w:val="single" w:sz="4" w:space="0" w:color="auto"/>
            </w:tcBorders>
            <w:shd w:val="clear" w:color="F2F2F2" w:fill="FFFFFF"/>
            <w:noWrap/>
            <w:vAlign w:val="bottom"/>
            <w:hideMark/>
          </w:tcPr>
          <w:p w14:paraId="221A1D6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193</w:t>
            </w:r>
          </w:p>
        </w:tc>
        <w:tc>
          <w:tcPr>
            <w:tcW w:w="999" w:type="dxa"/>
            <w:tcBorders>
              <w:top w:val="single" w:sz="4" w:space="0" w:color="auto"/>
              <w:left w:val="nil"/>
              <w:bottom w:val="single" w:sz="4" w:space="0" w:color="auto"/>
              <w:right w:val="single" w:sz="4" w:space="0" w:color="auto"/>
            </w:tcBorders>
            <w:noWrap/>
            <w:vAlign w:val="bottom"/>
            <w:hideMark/>
          </w:tcPr>
          <w:p w14:paraId="5EE5DCF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179</w:t>
            </w:r>
          </w:p>
        </w:tc>
        <w:tc>
          <w:tcPr>
            <w:tcW w:w="1411" w:type="dxa"/>
            <w:tcBorders>
              <w:top w:val="single" w:sz="4" w:space="0" w:color="auto"/>
              <w:left w:val="nil"/>
              <w:bottom w:val="single" w:sz="4" w:space="0" w:color="auto"/>
              <w:right w:val="single" w:sz="4" w:space="0" w:color="auto"/>
            </w:tcBorders>
            <w:shd w:val="clear" w:color="F2F2F2" w:fill="FFE699"/>
            <w:noWrap/>
            <w:vAlign w:val="bottom"/>
            <w:hideMark/>
          </w:tcPr>
          <w:p w14:paraId="3359E71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-7,25</w:t>
            </w:r>
          </w:p>
        </w:tc>
        <w:tc>
          <w:tcPr>
            <w:tcW w:w="1276" w:type="dxa"/>
            <w:tcBorders>
              <w:top w:val="single" w:sz="4" w:space="0" w:color="auto"/>
              <w:left w:val="nil"/>
              <w:bottom w:val="single" w:sz="4" w:space="0" w:color="auto"/>
              <w:right w:val="single" w:sz="4" w:space="0" w:color="auto"/>
            </w:tcBorders>
            <w:shd w:val="clear" w:color="F2F2F2" w:fill="C6E0B4"/>
            <w:noWrap/>
            <w:vAlign w:val="bottom"/>
            <w:hideMark/>
          </w:tcPr>
          <w:p w14:paraId="1B021EA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62,32%</w:t>
            </w:r>
          </w:p>
        </w:tc>
        <w:tc>
          <w:tcPr>
            <w:tcW w:w="1540" w:type="dxa"/>
            <w:tcBorders>
              <w:top w:val="single" w:sz="4" w:space="0" w:color="auto"/>
              <w:left w:val="nil"/>
              <w:bottom w:val="single" w:sz="4" w:space="0" w:color="auto"/>
              <w:right w:val="single" w:sz="4" w:space="0" w:color="auto"/>
            </w:tcBorders>
            <w:shd w:val="clear" w:color="000000" w:fill="C6E0B4"/>
            <w:vAlign w:val="center"/>
            <w:hideMark/>
          </w:tcPr>
          <w:p w14:paraId="3B5F2F0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1,89</w:t>
            </w:r>
          </w:p>
        </w:tc>
        <w:tc>
          <w:tcPr>
            <w:tcW w:w="1578" w:type="dxa"/>
            <w:tcBorders>
              <w:top w:val="single" w:sz="4" w:space="0" w:color="auto"/>
              <w:left w:val="single" w:sz="4" w:space="0" w:color="auto"/>
              <w:bottom w:val="single" w:sz="4" w:space="0" w:color="auto"/>
              <w:right w:val="nil"/>
            </w:tcBorders>
            <w:shd w:val="clear" w:color="000000" w:fill="C6E0B4"/>
            <w:noWrap/>
            <w:vAlign w:val="bottom"/>
            <w:hideMark/>
          </w:tcPr>
          <w:p w14:paraId="4D9C267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0,00</w:t>
            </w:r>
          </w:p>
        </w:tc>
        <w:tc>
          <w:tcPr>
            <w:tcW w:w="127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7A7D686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18,40%</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381BB70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1A4844A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617EA9B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single" w:sz="4" w:space="0" w:color="auto"/>
              <w:left w:val="nil"/>
              <w:bottom w:val="single" w:sz="4" w:space="0" w:color="auto"/>
              <w:right w:val="single" w:sz="4" w:space="0" w:color="auto"/>
            </w:tcBorders>
            <w:shd w:val="clear" w:color="F2F2F2" w:fill="C6E0B4"/>
            <w:noWrap/>
            <w:vAlign w:val="bottom"/>
            <w:hideMark/>
          </w:tcPr>
          <w:p w14:paraId="53418C4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9</w:t>
            </w:r>
          </w:p>
        </w:tc>
      </w:tr>
      <w:tr w:rsidR="00917F32" w:rsidRPr="006E6FF5" w14:paraId="79523676" w14:textId="77777777" w:rsidTr="001328FC">
        <w:trPr>
          <w:trHeight w:val="290"/>
        </w:trPr>
        <w:tc>
          <w:tcPr>
            <w:tcW w:w="2269"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462E5B86"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Sołectwo Zieleniew</w:t>
            </w:r>
          </w:p>
        </w:tc>
        <w:tc>
          <w:tcPr>
            <w:tcW w:w="1134" w:type="dxa"/>
            <w:tcBorders>
              <w:top w:val="single" w:sz="4" w:space="0" w:color="auto"/>
              <w:left w:val="nil"/>
              <w:bottom w:val="single" w:sz="4" w:space="0" w:color="auto"/>
              <w:right w:val="single" w:sz="4" w:space="0" w:color="auto"/>
            </w:tcBorders>
            <w:shd w:val="clear" w:color="F2F2F2" w:fill="FFFFFF"/>
            <w:noWrap/>
            <w:vAlign w:val="bottom"/>
            <w:hideMark/>
          </w:tcPr>
          <w:p w14:paraId="7B79F04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75</w:t>
            </w:r>
          </w:p>
        </w:tc>
        <w:tc>
          <w:tcPr>
            <w:tcW w:w="999" w:type="dxa"/>
            <w:tcBorders>
              <w:top w:val="single" w:sz="4" w:space="0" w:color="auto"/>
              <w:left w:val="nil"/>
              <w:bottom w:val="single" w:sz="4" w:space="0" w:color="auto"/>
              <w:right w:val="single" w:sz="4" w:space="0" w:color="auto"/>
            </w:tcBorders>
            <w:noWrap/>
            <w:vAlign w:val="bottom"/>
            <w:hideMark/>
          </w:tcPr>
          <w:p w14:paraId="1002DFE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67</w:t>
            </w:r>
          </w:p>
        </w:tc>
        <w:tc>
          <w:tcPr>
            <w:tcW w:w="1411" w:type="dxa"/>
            <w:tcBorders>
              <w:top w:val="single" w:sz="4" w:space="0" w:color="auto"/>
              <w:left w:val="nil"/>
              <w:bottom w:val="single" w:sz="4" w:space="0" w:color="auto"/>
              <w:right w:val="single" w:sz="4" w:space="0" w:color="auto"/>
            </w:tcBorders>
            <w:shd w:val="clear" w:color="F2F2F2" w:fill="F8CBAD"/>
            <w:noWrap/>
            <w:vAlign w:val="bottom"/>
            <w:hideMark/>
          </w:tcPr>
          <w:p w14:paraId="595394B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-10,67</w:t>
            </w:r>
          </w:p>
        </w:tc>
        <w:tc>
          <w:tcPr>
            <w:tcW w:w="1276" w:type="dxa"/>
            <w:tcBorders>
              <w:top w:val="single" w:sz="4" w:space="0" w:color="auto"/>
              <w:left w:val="nil"/>
              <w:bottom w:val="single" w:sz="4" w:space="0" w:color="auto"/>
              <w:right w:val="single" w:sz="4" w:space="0" w:color="auto"/>
            </w:tcBorders>
            <w:shd w:val="clear" w:color="F2F2F2" w:fill="FFE699"/>
            <w:noWrap/>
            <w:vAlign w:val="bottom"/>
            <w:hideMark/>
          </w:tcPr>
          <w:p w14:paraId="767D832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55,16%</w:t>
            </w:r>
          </w:p>
        </w:tc>
        <w:tc>
          <w:tcPr>
            <w:tcW w:w="1540" w:type="dxa"/>
            <w:tcBorders>
              <w:top w:val="single" w:sz="4" w:space="0" w:color="auto"/>
              <w:left w:val="nil"/>
              <w:bottom w:val="single" w:sz="4" w:space="0" w:color="auto"/>
              <w:right w:val="single" w:sz="4" w:space="0" w:color="auto"/>
            </w:tcBorders>
            <w:shd w:val="clear" w:color="000000" w:fill="C6E0B4"/>
            <w:vAlign w:val="center"/>
            <w:hideMark/>
          </w:tcPr>
          <w:p w14:paraId="481E4CDC"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1,89</w:t>
            </w:r>
          </w:p>
        </w:tc>
        <w:tc>
          <w:tcPr>
            <w:tcW w:w="1578" w:type="dxa"/>
            <w:tcBorders>
              <w:top w:val="single" w:sz="4" w:space="0" w:color="auto"/>
              <w:left w:val="single" w:sz="4" w:space="0" w:color="auto"/>
              <w:bottom w:val="single" w:sz="4" w:space="0" w:color="auto"/>
              <w:right w:val="nil"/>
            </w:tcBorders>
            <w:shd w:val="clear" w:color="000000" w:fill="C6E0B4"/>
            <w:noWrap/>
            <w:vAlign w:val="bottom"/>
            <w:hideMark/>
          </w:tcPr>
          <w:p w14:paraId="4D7762F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1,49</w:t>
            </w:r>
          </w:p>
        </w:tc>
        <w:tc>
          <w:tcPr>
            <w:tcW w:w="127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781CB62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22,40%</w:t>
            </w:r>
          </w:p>
        </w:tc>
        <w:tc>
          <w:tcPr>
            <w:tcW w:w="12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008421B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1276" w:type="dxa"/>
            <w:tcBorders>
              <w:top w:val="single" w:sz="4" w:space="0" w:color="auto"/>
              <w:left w:val="single" w:sz="4" w:space="0" w:color="auto"/>
              <w:bottom w:val="single" w:sz="4" w:space="0" w:color="auto"/>
              <w:right w:val="single" w:sz="4" w:space="0" w:color="auto"/>
            </w:tcBorders>
            <w:shd w:val="clear" w:color="FFEB9C" w:fill="FFEB9C"/>
            <w:noWrap/>
            <w:vAlign w:val="bottom"/>
            <w:hideMark/>
          </w:tcPr>
          <w:p w14:paraId="680E9B4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13681AA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w:t>
            </w:r>
          </w:p>
        </w:tc>
        <w:tc>
          <w:tcPr>
            <w:tcW w:w="992" w:type="dxa"/>
            <w:tcBorders>
              <w:top w:val="single" w:sz="4" w:space="0" w:color="auto"/>
              <w:left w:val="nil"/>
              <w:bottom w:val="single" w:sz="4" w:space="0" w:color="auto"/>
              <w:right w:val="single" w:sz="4" w:space="0" w:color="auto"/>
            </w:tcBorders>
            <w:shd w:val="clear" w:color="F2F2F2" w:fill="FFE699"/>
            <w:noWrap/>
            <w:vAlign w:val="bottom"/>
            <w:hideMark/>
          </w:tcPr>
          <w:p w14:paraId="1BD2995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12</w:t>
            </w:r>
          </w:p>
        </w:tc>
      </w:tr>
      <w:tr w:rsidR="00917F32" w:rsidRPr="006E6FF5" w14:paraId="0899D2FB" w14:textId="77777777" w:rsidTr="00917F32">
        <w:trPr>
          <w:trHeight w:val="285"/>
        </w:trPr>
        <w:tc>
          <w:tcPr>
            <w:tcW w:w="2269" w:type="dxa"/>
            <w:tcBorders>
              <w:top w:val="single" w:sz="4" w:space="0" w:color="auto"/>
              <w:left w:val="nil"/>
              <w:bottom w:val="nil"/>
              <w:right w:val="nil"/>
            </w:tcBorders>
            <w:noWrap/>
            <w:vAlign w:val="bottom"/>
            <w:hideMark/>
          </w:tcPr>
          <w:p w14:paraId="6200371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p>
        </w:tc>
        <w:tc>
          <w:tcPr>
            <w:tcW w:w="1134" w:type="dxa"/>
            <w:tcBorders>
              <w:top w:val="single" w:sz="4" w:space="0" w:color="auto"/>
              <w:left w:val="nil"/>
              <w:bottom w:val="nil"/>
              <w:right w:val="nil"/>
            </w:tcBorders>
            <w:noWrap/>
            <w:vAlign w:val="bottom"/>
            <w:hideMark/>
          </w:tcPr>
          <w:p w14:paraId="3D4F4341" w14:textId="6805426D"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p>
        </w:tc>
        <w:tc>
          <w:tcPr>
            <w:tcW w:w="999" w:type="dxa"/>
            <w:tcBorders>
              <w:top w:val="single" w:sz="4" w:space="0" w:color="auto"/>
              <w:left w:val="nil"/>
              <w:bottom w:val="nil"/>
              <w:right w:val="nil"/>
            </w:tcBorders>
            <w:noWrap/>
            <w:vAlign w:val="bottom"/>
            <w:hideMark/>
          </w:tcPr>
          <w:p w14:paraId="24D3E7C9" w14:textId="2CD245C3"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p>
        </w:tc>
        <w:tc>
          <w:tcPr>
            <w:tcW w:w="1411" w:type="dxa"/>
            <w:tcBorders>
              <w:top w:val="single" w:sz="4" w:space="0" w:color="auto"/>
              <w:left w:val="nil"/>
              <w:bottom w:val="nil"/>
              <w:right w:val="nil"/>
            </w:tcBorders>
            <w:noWrap/>
            <w:vAlign w:val="bottom"/>
            <w:hideMark/>
          </w:tcPr>
          <w:p w14:paraId="706FD55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p>
        </w:tc>
        <w:tc>
          <w:tcPr>
            <w:tcW w:w="1276" w:type="dxa"/>
            <w:tcBorders>
              <w:top w:val="single" w:sz="4" w:space="0" w:color="auto"/>
              <w:left w:val="nil"/>
              <w:bottom w:val="nil"/>
              <w:right w:val="nil"/>
            </w:tcBorders>
            <w:shd w:val="clear" w:color="F2F2F2" w:fill="FFFFFF"/>
            <w:noWrap/>
            <w:vAlign w:val="bottom"/>
            <w:hideMark/>
          </w:tcPr>
          <w:p w14:paraId="0D5799B0"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540" w:type="dxa"/>
            <w:tcBorders>
              <w:top w:val="single" w:sz="4" w:space="0" w:color="auto"/>
              <w:left w:val="nil"/>
              <w:bottom w:val="nil"/>
              <w:right w:val="nil"/>
            </w:tcBorders>
            <w:noWrap/>
            <w:vAlign w:val="center"/>
            <w:hideMark/>
          </w:tcPr>
          <w:p w14:paraId="74AFA1D1"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p>
        </w:tc>
        <w:tc>
          <w:tcPr>
            <w:tcW w:w="1578" w:type="dxa"/>
            <w:tcBorders>
              <w:top w:val="single" w:sz="4" w:space="0" w:color="auto"/>
              <w:left w:val="nil"/>
              <w:bottom w:val="nil"/>
              <w:right w:val="nil"/>
            </w:tcBorders>
            <w:shd w:val="clear" w:color="000000" w:fill="FFFFFF"/>
            <w:noWrap/>
            <w:vAlign w:val="bottom"/>
            <w:hideMark/>
          </w:tcPr>
          <w:p w14:paraId="10DFC790"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single" w:sz="4" w:space="0" w:color="auto"/>
              <w:left w:val="nil"/>
              <w:bottom w:val="nil"/>
              <w:right w:val="nil"/>
            </w:tcBorders>
            <w:shd w:val="clear" w:color="000000" w:fill="FFFFFF"/>
            <w:noWrap/>
            <w:vAlign w:val="bottom"/>
            <w:hideMark/>
          </w:tcPr>
          <w:p w14:paraId="73F7A3DE"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5" w:type="dxa"/>
            <w:tcBorders>
              <w:top w:val="single" w:sz="4" w:space="0" w:color="auto"/>
              <w:left w:val="nil"/>
              <w:bottom w:val="nil"/>
              <w:right w:val="nil"/>
            </w:tcBorders>
            <w:shd w:val="clear" w:color="F2F2F2" w:fill="FFFFFF"/>
            <w:noWrap/>
            <w:vAlign w:val="bottom"/>
            <w:hideMark/>
          </w:tcPr>
          <w:p w14:paraId="7E568391"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single" w:sz="4" w:space="0" w:color="auto"/>
              <w:left w:val="nil"/>
              <w:bottom w:val="nil"/>
              <w:right w:val="nil"/>
            </w:tcBorders>
            <w:shd w:val="clear" w:color="F2F2F2" w:fill="FFFFFF"/>
            <w:noWrap/>
            <w:vAlign w:val="bottom"/>
            <w:hideMark/>
          </w:tcPr>
          <w:p w14:paraId="58023EB2"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single" w:sz="4" w:space="0" w:color="auto"/>
              <w:left w:val="nil"/>
              <w:bottom w:val="nil"/>
              <w:right w:val="nil"/>
            </w:tcBorders>
            <w:shd w:val="clear" w:color="F2F2F2" w:fill="FFFFFF"/>
            <w:noWrap/>
            <w:vAlign w:val="bottom"/>
            <w:hideMark/>
          </w:tcPr>
          <w:p w14:paraId="692C1797"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992" w:type="dxa"/>
            <w:tcBorders>
              <w:top w:val="single" w:sz="4" w:space="0" w:color="auto"/>
              <w:left w:val="nil"/>
              <w:bottom w:val="nil"/>
              <w:right w:val="nil"/>
            </w:tcBorders>
            <w:shd w:val="clear" w:color="F2F2F2" w:fill="FFFFFF"/>
            <w:noWrap/>
            <w:vAlign w:val="bottom"/>
            <w:hideMark/>
          </w:tcPr>
          <w:p w14:paraId="5B91EF65"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r>
      <w:tr w:rsidR="00917F32" w:rsidRPr="00917F32" w14:paraId="4DA3E072" w14:textId="77777777" w:rsidTr="00917F32">
        <w:trPr>
          <w:trHeight w:val="285"/>
        </w:trPr>
        <w:tc>
          <w:tcPr>
            <w:tcW w:w="4402" w:type="dxa"/>
            <w:gridSpan w:val="3"/>
            <w:tcBorders>
              <w:top w:val="single" w:sz="4" w:space="0" w:color="auto"/>
              <w:left w:val="single" w:sz="4" w:space="0" w:color="auto"/>
              <w:bottom w:val="single" w:sz="4" w:space="0" w:color="auto"/>
              <w:right w:val="single" w:sz="4" w:space="0" w:color="000000"/>
            </w:tcBorders>
            <w:vAlign w:val="center"/>
            <w:hideMark/>
          </w:tcPr>
          <w:p w14:paraId="103FA022"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Średnia</w:t>
            </w:r>
          </w:p>
        </w:tc>
        <w:tc>
          <w:tcPr>
            <w:tcW w:w="1411" w:type="dxa"/>
            <w:tcBorders>
              <w:top w:val="single" w:sz="4" w:space="0" w:color="auto"/>
              <w:left w:val="single" w:sz="4" w:space="0" w:color="auto"/>
              <w:bottom w:val="single" w:sz="4" w:space="0" w:color="auto"/>
              <w:right w:val="single" w:sz="4" w:space="0" w:color="auto"/>
            </w:tcBorders>
            <w:noWrap/>
            <w:vAlign w:val="bottom"/>
            <w:hideMark/>
          </w:tcPr>
          <w:p w14:paraId="73EEED9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-7,24</w:t>
            </w:r>
          </w:p>
        </w:tc>
        <w:tc>
          <w:tcPr>
            <w:tcW w:w="1276" w:type="dxa"/>
            <w:tcBorders>
              <w:top w:val="single" w:sz="4" w:space="0" w:color="auto"/>
              <w:left w:val="nil"/>
              <w:bottom w:val="single" w:sz="4" w:space="0" w:color="auto"/>
              <w:right w:val="single" w:sz="4" w:space="0" w:color="auto"/>
            </w:tcBorders>
            <w:noWrap/>
            <w:vAlign w:val="bottom"/>
            <w:hideMark/>
          </w:tcPr>
          <w:p w14:paraId="301EF296"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54,29%</w:t>
            </w:r>
          </w:p>
        </w:tc>
        <w:tc>
          <w:tcPr>
            <w:tcW w:w="1540" w:type="dxa"/>
            <w:tcBorders>
              <w:top w:val="single" w:sz="4" w:space="0" w:color="auto"/>
              <w:left w:val="nil"/>
              <w:bottom w:val="single" w:sz="4" w:space="0" w:color="auto"/>
              <w:right w:val="single" w:sz="4" w:space="0" w:color="auto"/>
            </w:tcBorders>
            <w:noWrap/>
            <w:vAlign w:val="center"/>
            <w:hideMark/>
          </w:tcPr>
          <w:p w14:paraId="2E4D27DB"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4,58</w:t>
            </w:r>
          </w:p>
        </w:tc>
        <w:tc>
          <w:tcPr>
            <w:tcW w:w="1578" w:type="dxa"/>
            <w:tcBorders>
              <w:top w:val="single" w:sz="4" w:space="0" w:color="auto"/>
              <w:left w:val="nil"/>
              <w:bottom w:val="single" w:sz="4" w:space="0" w:color="auto"/>
              <w:right w:val="single" w:sz="4" w:space="0" w:color="auto"/>
            </w:tcBorders>
            <w:shd w:val="clear" w:color="000000" w:fill="FFFFFF"/>
            <w:noWrap/>
            <w:vAlign w:val="bottom"/>
            <w:hideMark/>
          </w:tcPr>
          <w:p w14:paraId="60FEBB5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3,26</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2766276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24,40%</w:t>
            </w:r>
          </w:p>
        </w:tc>
        <w:tc>
          <w:tcPr>
            <w:tcW w:w="1275" w:type="dxa"/>
            <w:tcBorders>
              <w:top w:val="single" w:sz="4" w:space="0" w:color="auto"/>
              <w:left w:val="nil"/>
              <w:bottom w:val="single" w:sz="4" w:space="0" w:color="auto"/>
              <w:right w:val="single" w:sz="4" w:space="0" w:color="auto"/>
            </w:tcBorders>
            <w:shd w:val="clear" w:color="F2F2F2" w:fill="FFFFFF"/>
            <w:noWrap/>
            <w:vAlign w:val="bottom"/>
            <w:hideMark/>
          </w:tcPr>
          <w:p w14:paraId="1502DE6F"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single" w:sz="4" w:space="0" w:color="auto"/>
              <w:left w:val="nil"/>
              <w:bottom w:val="single" w:sz="4" w:space="0" w:color="auto"/>
              <w:right w:val="single" w:sz="4" w:space="0" w:color="auto"/>
            </w:tcBorders>
            <w:shd w:val="clear" w:color="F2F2F2" w:fill="FFFFFF"/>
            <w:noWrap/>
            <w:vAlign w:val="bottom"/>
            <w:hideMark/>
          </w:tcPr>
          <w:p w14:paraId="2A1C0265"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single" w:sz="4" w:space="0" w:color="auto"/>
              <w:left w:val="nil"/>
              <w:bottom w:val="single" w:sz="4" w:space="0" w:color="auto"/>
              <w:right w:val="single" w:sz="4" w:space="0" w:color="auto"/>
            </w:tcBorders>
            <w:shd w:val="clear" w:color="F2F2F2" w:fill="FFFFFF"/>
            <w:noWrap/>
            <w:vAlign w:val="bottom"/>
            <w:hideMark/>
          </w:tcPr>
          <w:p w14:paraId="0F94ADC4"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992" w:type="dxa"/>
            <w:tcBorders>
              <w:top w:val="single" w:sz="4" w:space="0" w:color="auto"/>
              <w:left w:val="nil"/>
              <w:bottom w:val="single" w:sz="4" w:space="0" w:color="auto"/>
              <w:right w:val="single" w:sz="4" w:space="0" w:color="auto"/>
            </w:tcBorders>
            <w:shd w:val="clear" w:color="F2F2F2" w:fill="FFFFFF"/>
            <w:noWrap/>
            <w:vAlign w:val="bottom"/>
            <w:hideMark/>
          </w:tcPr>
          <w:p w14:paraId="55DB003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13,17</w:t>
            </w:r>
          </w:p>
        </w:tc>
      </w:tr>
      <w:tr w:rsidR="00917F32" w:rsidRPr="00917F32" w14:paraId="399409C1" w14:textId="77777777" w:rsidTr="00917F32">
        <w:trPr>
          <w:trHeight w:val="285"/>
        </w:trPr>
        <w:tc>
          <w:tcPr>
            <w:tcW w:w="4402" w:type="dxa"/>
            <w:gridSpan w:val="3"/>
            <w:tcBorders>
              <w:top w:val="single" w:sz="4" w:space="0" w:color="auto"/>
              <w:left w:val="single" w:sz="4" w:space="0" w:color="auto"/>
              <w:bottom w:val="single" w:sz="4" w:space="0" w:color="auto"/>
              <w:right w:val="single" w:sz="4" w:space="0" w:color="000000"/>
            </w:tcBorders>
            <w:vAlign w:val="center"/>
            <w:hideMark/>
          </w:tcPr>
          <w:p w14:paraId="22E66489"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xml:space="preserve">Przedział średniej </w:t>
            </w:r>
          </w:p>
        </w:tc>
        <w:tc>
          <w:tcPr>
            <w:tcW w:w="1411" w:type="dxa"/>
            <w:tcBorders>
              <w:top w:val="single" w:sz="4" w:space="0" w:color="auto"/>
              <w:left w:val="nil"/>
              <w:bottom w:val="single" w:sz="4" w:space="0" w:color="auto"/>
              <w:right w:val="single" w:sz="4" w:space="0" w:color="auto"/>
            </w:tcBorders>
            <w:vAlign w:val="center"/>
            <w:hideMark/>
          </w:tcPr>
          <w:p w14:paraId="7BAB9D8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6-9.</w:t>
            </w:r>
          </w:p>
        </w:tc>
        <w:tc>
          <w:tcPr>
            <w:tcW w:w="1276" w:type="dxa"/>
            <w:tcBorders>
              <w:top w:val="nil"/>
              <w:left w:val="single" w:sz="4" w:space="0" w:color="auto"/>
              <w:bottom w:val="single" w:sz="4" w:space="0" w:color="auto"/>
              <w:right w:val="single" w:sz="4" w:space="0" w:color="auto"/>
            </w:tcBorders>
            <w:shd w:val="clear" w:color="F2F2F2" w:fill="FFFFFF"/>
            <w:noWrap/>
            <w:vAlign w:val="bottom"/>
            <w:hideMark/>
          </w:tcPr>
          <w:p w14:paraId="01C83CD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53%-57%</w:t>
            </w:r>
          </w:p>
        </w:tc>
        <w:tc>
          <w:tcPr>
            <w:tcW w:w="1540" w:type="dxa"/>
            <w:tcBorders>
              <w:top w:val="nil"/>
              <w:left w:val="nil"/>
              <w:bottom w:val="single" w:sz="4" w:space="0" w:color="auto"/>
              <w:right w:val="single" w:sz="4" w:space="0" w:color="auto"/>
            </w:tcBorders>
            <w:noWrap/>
            <w:vAlign w:val="center"/>
            <w:hideMark/>
          </w:tcPr>
          <w:p w14:paraId="79D38987"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3,8-5,7</w:t>
            </w:r>
          </w:p>
        </w:tc>
        <w:tc>
          <w:tcPr>
            <w:tcW w:w="1578" w:type="dxa"/>
            <w:tcBorders>
              <w:top w:val="nil"/>
              <w:left w:val="nil"/>
              <w:bottom w:val="single" w:sz="4" w:space="0" w:color="auto"/>
              <w:right w:val="single" w:sz="4" w:space="0" w:color="auto"/>
            </w:tcBorders>
            <w:shd w:val="clear" w:color="000000" w:fill="FFFFFF"/>
            <w:noWrap/>
            <w:vAlign w:val="bottom"/>
            <w:hideMark/>
          </w:tcPr>
          <w:p w14:paraId="434FF66F"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2-4.</w:t>
            </w:r>
          </w:p>
        </w:tc>
        <w:tc>
          <w:tcPr>
            <w:tcW w:w="1276" w:type="dxa"/>
            <w:tcBorders>
              <w:top w:val="nil"/>
              <w:left w:val="nil"/>
              <w:bottom w:val="single" w:sz="4" w:space="0" w:color="auto"/>
              <w:right w:val="single" w:sz="4" w:space="0" w:color="auto"/>
            </w:tcBorders>
            <w:shd w:val="clear" w:color="000000" w:fill="FFFFFF"/>
            <w:noWrap/>
            <w:vAlign w:val="bottom"/>
            <w:hideMark/>
          </w:tcPr>
          <w:p w14:paraId="6DADCA9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23-25%</w:t>
            </w:r>
          </w:p>
        </w:tc>
        <w:tc>
          <w:tcPr>
            <w:tcW w:w="1275" w:type="dxa"/>
            <w:tcBorders>
              <w:top w:val="nil"/>
              <w:left w:val="nil"/>
              <w:bottom w:val="single" w:sz="4" w:space="0" w:color="auto"/>
              <w:right w:val="single" w:sz="4" w:space="0" w:color="auto"/>
            </w:tcBorders>
            <w:shd w:val="clear" w:color="F2F2F2" w:fill="FFFFFF"/>
            <w:noWrap/>
            <w:vAlign w:val="bottom"/>
            <w:hideMark/>
          </w:tcPr>
          <w:p w14:paraId="3F4169D4"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FFFFFF"/>
            <w:noWrap/>
            <w:vAlign w:val="bottom"/>
            <w:hideMark/>
          </w:tcPr>
          <w:p w14:paraId="4B85D0BE"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FFFFFF"/>
            <w:noWrap/>
            <w:vAlign w:val="bottom"/>
            <w:hideMark/>
          </w:tcPr>
          <w:p w14:paraId="67A5E3FC"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992" w:type="dxa"/>
            <w:tcBorders>
              <w:top w:val="nil"/>
              <w:left w:val="nil"/>
              <w:bottom w:val="single" w:sz="4" w:space="0" w:color="auto"/>
              <w:right w:val="single" w:sz="4" w:space="0" w:color="auto"/>
            </w:tcBorders>
            <w:shd w:val="clear" w:color="F2F2F2" w:fill="FFFFFF"/>
            <w:noWrap/>
            <w:vAlign w:val="bottom"/>
            <w:hideMark/>
          </w:tcPr>
          <w:p w14:paraId="6228280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11-16.</w:t>
            </w:r>
          </w:p>
        </w:tc>
      </w:tr>
      <w:tr w:rsidR="00917F32" w:rsidRPr="00917F32" w14:paraId="5DBA6004" w14:textId="77777777" w:rsidTr="00917F32">
        <w:trPr>
          <w:trHeight w:val="285"/>
        </w:trPr>
        <w:tc>
          <w:tcPr>
            <w:tcW w:w="4402" w:type="dxa"/>
            <w:gridSpan w:val="3"/>
            <w:tcBorders>
              <w:top w:val="nil"/>
              <w:left w:val="single" w:sz="4" w:space="0" w:color="auto"/>
              <w:bottom w:val="single" w:sz="4" w:space="0" w:color="auto"/>
              <w:right w:val="single" w:sz="4" w:space="0" w:color="000000"/>
            </w:tcBorders>
            <w:shd w:val="clear" w:color="000000" w:fill="E7E6E6"/>
            <w:vAlign w:val="bottom"/>
            <w:hideMark/>
          </w:tcPr>
          <w:p w14:paraId="7F4704F4"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Wartość minimalna do korelacji</w:t>
            </w:r>
          </w:p>
        </w:tc>
        <w:tc>
          <w:tcPr>
            <w:tcW w:w="1411" w:type="dxa"/>
            <w:tcBorders>
              <w:top w:val="nil"/>
              <w:left w:val="nil"/>
              <w:bottom w:val="single" w:sz="4" w:space="0" w:color="auto"/>
              <w:right w:val="single" w:sz="4" w:space="0" w:color="auto"/>
            </w:tcBorders>
            <w:shd w:val="clear" w:color="000000" w:fill="E7E6E6"/>
            <w:vAlign w:val="bottom"/>
            <w:hideMark/>
          </w:tcPr>
          <w:p w14:paraId="62960EA8"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-1,09</w:t>
            </w:r>
          </w:p>
        </w:tc>
        <w:tc>
          <w:tcPr>
            <w:tcW w:w="1276" w:type="dxa"/>
            <w:tcBorders>
              <w:top w:val="nil"/>
              <w:left w:val="nil"/>
              <w:bottom w:val="single" w:sz="4" w:space="0" w:color="auto"/>
              <w:right w:val="single" w:sz="4" w:space="0" w:color="auto"/>
            </w:tcBorders>
            <w:shd w:val="clear" w:color="000000" w:fill="E7E6E6"/>
            <w:vAlign w:val="bottom"/>
            <w:hideMark/>
          </w:tcPr>
          <w:p w14:paraId="31BD335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0,54%</w:t>
            </w:r>
          </w:p>
        </w:tc>
        <w:tc>
          <w:tcPr>
            <w:tcW w:w="1540" w:type="dxa"/>
            <w:tcBorders>
              <w:top w:val="nil"/>
              <w:left w:val="nil"/>
              <w:bottom w:val="single" w:sz="4" w:space="0" w:color="auto"/>
              <w:right w:val="single" w:sz="4" w:space="0" w:color="auto"/>
            </w:tcBorders>
            <w:shd w:val="clear" w:color="000000" w:fill="E7E6E6"/>
            <w:vAlign w:val="bottom"/>
            <w:hideMark/>
          </w:tcPr>
          <w:p w14:paraId="4267C1E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0,69</w:t>
            </w:r>
          </w:p>
        </w:tc>
        <w:tc>
          <w:tcPr>
            <w:tcW w:w="1578" w:type="dxa"/>
            <w:tcBorders>
              <w:top w:val="nil"/>
              <w:left w:val="nil"/>
              <w:bottom w:val="single" w:sz="4" w:space="0" w:color="auto"/>
              <w:right w:val="single" w:sz="4" w:space="0" w:color="auto"/>
            </w:tcBorders>
            <w:shd w:val="clear" w:color="000000" w:fill="E7E6E6"/>
            <w:vAlign w:val="bottom"/>
            <w:hideMark/>
          </w:tcPr>
          <w:p w14:paraId="2185F22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0,49</w:t>
            </w:r>
          </w:p>
        </w:tc>
        <w:tc>
          <w:tcPr>
            <w:tcW w:w="1276" w:type="dxa"/>
            <w:tcBorders>
              <w:top w:val="nil"/>
              <w:left w:val="nil"/>
              <w:bottom w:val="single" w:sz="4" w:space="0" w:color="auto"/>
              <w:right w:val="single" w:sz="4" w:space="0" w:color="auto"/>
            </w:tcBorders>
            <w:shd w:val="clear" w:color="000000" w:fill="E7E6E6"/>
            <w:vAlign w:val="bottom"/>
            <w:hideMark/>
          </w:tcPr>
          <w:p w14:paraId="2AA800C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1,22%</w:t>
            </w:r>
          </w:p>
        </w:tc>
        <w:tc>
          <w:tcPr>
            <w:tcW w:w="1275" w:type="dxa"/>
            <w:tcBorders>
              <w:top w:val="nil"/>
              <w:left w:val="nil"/>
              <w:bottom w:val="single" w:sz="4" w:space="0" w:color="auto"/>
              <w:right w:val="single" w:sz="4" w:space="0" w:color="auto"/>
            </w:tcBorders>
            <w:shd w:val="clear" w:color="F2F2F2" w:fill="E7E6E6"/>
            <w:noWrap/>
            <w:vAlign w:val="bottom"/>
            <w:hideMark/>
          </w:tcPr>
          <w:p w14:paraId="0A32FC75"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E7E6E6"/>
            <w:noWrap/>
            <w:vAlign w:val="bottom"/>
            <w:hideMark/>
          </w:tcPr>
          <w:p w14:paraId="610BDB62"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E7E6E6"/>
            <w:noWrap/>
            <w:vAlign w:val="bottom"/>
            <w:hideMark/>
          </w:tcPr>
          <w:p w14:paraId="1EEC385D"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992" w:type="dxa"/>
            <w:tcBorders>
              <w:top w:val="nil"/>
              <w:left w:val="nil"/>
              <w:bottom w:val="single" w:sz="4" w:space="0" w:color="auto"/>
              <w:right w:val="single" w:sz="4" w:space="0" w:color="auto"/>
            </w:tcBorders>
            <w:shd w:val="clear" w:color="F2F2F2" w:fill="E7E6E6"/>
            <w:noWrap/>
            <w:vAlign w:val="bottom"/>
            <w:hideMark/>
          </w:tcPr>
          <w:p w14:paraId="673B01A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1,9755</w:t>
            </w:r>
          </w:p>
        </w:tc>
      </w:tr>
      <w:tr w:rsidR="00917F32" w:rsidRPr="00917F32" w14:paraId="05DE1EAB" w14:textId="77777777" w:rsidTr="00917F32">
        <w:trPr>
          <w:trHeight w:val="285"/>
        </w:trPr>
        <w:tc>
          <w:tcPr>
            <w:tcW w:w="4402" w:type="dxa"/>
            <w:gridSpan w:val="3"/>
            <w:tcBorders>
              <w:top w:val="single" w:sz="4" w:space="0" w:color="auto"/>
              <w:left w:val="single" w:sz="4" w:space="0" w:color="auto"/>
              <w:bottom w:val="single" w:sz="4" w:space="0" w:color="auto"/>
              <w:right w:val="single" w:sz="4" w:space="0" w:color="000000"/>
            </w:tcBorders>
            <w:shd w:val="clear" w:color="000000" w:fill="E7E6E6"/>
            <w:vAlign w:val="bottom"/>
            <w:hideMark/>
          </w:tcPr>
          <w:p w14:paraId="5202742F"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Wartość maksymalna do korelacji</w:t>
            </w:r>
          </w:p>
        </w:tc>
        <w:tc>
          <w:tcPr>
            <w:tcW w:w="1411" w:type="dxa"/>
            <w:tcBorders>
              <w:top w:val="nil"/>
              <w:left w:val="single" w:sz="4" w:space="0" w:color="auto"/>
              <w:bottom w:val="single" w:sz="4" w:space="0" w:color="auto"/>
              <w:right w:val="single" w:sz="4" w:space="0" w:color="auto"/>
            </w:tcBorders>
            <w:shd w:val="clear" w:color="000000" w:fill="E7E6E6"/>
            <w:vAlign w:val="bottom"/>
            <w:hideMark/>
          </w:tcPr>
          <w:p w14:paraId="43301D2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-1,81</w:t>
            </w:r>
          </w:p>
        </w:tc>
        <w:tc>
          <w:tcPr>
            <w:tcW w:w="1276" w:type="dxa"/>
            <w:tcBorders>
              <w:top w:val="nil"/>
              <w:left w:val="nil"/>
              <w:bottom w:val="single" w:sz="4" w:space="0" w:color="auto"/>
              <w:right w:val="single" w:sz="4" w:space="0" w:color="auto"/>
            </w:tcBorders>
            <w:shd w:val="clear" w:color="000000" w:fill="E7E6E6"/>
            <w:vAlign w:val="bottom"/>
            <w:hideMark/>
          </w:tcPr>
          <w:p w14:paraId="27DAE7C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2,71%</w:t>
            </w:r>
          </w:p>
        </w:tc>
        <w:tc>
          <w:tcPr>
            <w:tcW w:w="1540" w:type="dxa"/>
            <w:tcBorders>
              <w:top w:val="nil"/>
              <w:left w:val="nil"/>
              <w:bottom w:val="single" w:sz="4" w:space="0" w:color="auto"/>
              <w:right w:val="single" w:sz="4" w:space="0" w:color="auto"/>
            </w:tcBorders>
            <w:shd w:val="clear" w:color="000000" w:fill="E7E6E6"/>
            <w:vAlign w:val="bottom"/>
            <w:hideMark/>
          </w:tcPr>
          <w:p w14:paraId="13F9FD15"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1,15</w:t>
            </w:r>
          </w:p>
        </w:tc>
        <w:tc>
          <w:tcPr>
            <w:tcW w:w="1578" w:type="dxa"/>
            <w:tcBorders>
              <w:top w:val="nil"/>
              <w:left w:val="nil"/>
              <w:bottom w:val="single" w:sz="4" w:space="0" w:color="auto"/>
              <w:right w:val="single" w:sz="4" w:space="0" w:color="auto"/>
            </w:tcBorders>
            <w:shd w:val="clear" w:color="000000" w:fill="E7E6E6"/>
            <w:vAlign w:val="bottom"/>
            <w:hideMark/>
          </w:tcPr>
          <w:p w14:paraId="786ECEEA"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0,82</w:t>
            </w:r>
          </w:p>
        </w:tc>
        <w:tc>
          <w:tcPr>
            <w:tcW w:w="1276" w:type="dxa"/>
            <w:tcBorders>
              <w:top w:val="nil"/>
              <w:left w:val="nil"/>
              <w:bottom w:val="single" w:sz="4" w:space="0" w:color="auto"/>
              <w:right w:val="single" w:sz="4" w:space="0" w:color="auto"/>
            </w:tcBorders>
            <w:shd w:val="clear" w:color="000000" w:fill="E7E6E6"/>
            <w:vAlign w:val="bottom"/>
            <w:hideMark/>
          </w:tcPr>
          <w:p w14:paraId="4E04E15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2,44%</w:t>
            </w:r>
          </w:p>
        </w:tc>
        <w:tc>
          <w:tcPr>
            <w:tcW w:w="1275" w:type="dxa"/>
            <w:tcBorders>
              <w:top w:val="nil"/>
              <w:left w:val="nil"/>
              <w:bottom w:val="single" w:sz="4" w:space="0" w:color="auto"/>
              <w:right w:val="single" w:sz="4" w:space="0" w:color="auto"/>
            </w:tcBorders>
            <w:shd w:val="clear" w:color="F2F2F2" w:fill="E7E6E6"/>
            <w:noWrap/>
            <w:vAlign w:val="bottom"/>
            <w:hideMark/>
          </w:tcPr>
          <w:p w14:paraId="2C469E74"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E7E6E6"/>
            <w:noWrap/>
            <w:vAlign w:val="bottom"/>
            <w:hideMark/>
          </w:tcPr>
          <w:p w14:paraId="2C3990AC"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E7E6E6"/>
            <w:noWrap/>
            <w:vAlign w:val="bottom"/>
            <w:hideMark/>
          </w:tcPr>
          <w:p w14:paraId="376FE9BB"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992" w:type="dxa"/>
            <w:tcBorders>
              <w:top w:val="nil"/>
              <w:left w:val="nil"/>
              <w:bottom w:val="single" w:sz="4" w:space="0" w:color="auto"/>
              <w:right w:val="single" w:sz="4" w:space="0" w:color="auto"/>
            </w:tcBorders>
            <w:shd w:val="clear" w:color="F2F2F2" w:fill="E7E6E6"/>
            <w:noWrap/>
            <w:vAlign w:val="bottom"/>
            <w:hideMark/>
          </w:tcPr>
          <w:p w14:paraId="5B667D34"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3,2925</w:t>
            </w:r>
          </w:p>
        </w:tc>
      </w:tr>
      <w:tr w:rsidR="00917F32" w:rsidRPr="00917F32" w14:paraId="7ABD5A6F" w14:textId="77777777" w:rsidTr="00917F32">
        <w:trPr>
          <w:trHeight w:val="285"/>
        </w:trPr>
        <w:tc>
          <w:tcPr>
            <w:tcW w:w="440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354B3361"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Minimalny przedział wartości ujemnej</w:t>
            </w:r>
          </w:p>
        </w:tc>
        <w:tc>
          <w:tcPr>
            <w:tcW w:w="1411" w:type="dxa"/>
            <w:tcBorders>
              <w:top w:val="nil"/>
              <w:left w:val="single" w:sz="4" w:space="0" w:color="auto"/>
              <w:bottom w:val="single" w:sz="4" w:space="0" w:color="auto"/>
              <w:right w:val="single" w:sz="4" w:space="0" w:color="auto"/>
            </w:tcBorders>
            <w:shd w:val="clear" w:color="000000" w:fill="FFFFFF"/>
            <w:noWrap/>
            <w:vAlign w:val="bottom"/>
            <w:hideMark/>
          </w:tcPr>
          <w:p w14:paraId="20FEDEFD"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-6,16</w:t>
            </w:r>
          </w:p>
        </w:tc>
        <w:tc>
          <w:tcPr>
            <w:tcW w:w="1276" w:type="dxa"/>
            <w:tcBorders>
              <w:top w:val="nil"/>
              <w:left w:val="nil"/>
              <w:bottom w:val="single" w:sz="4" w:space="0" w:color="auto"/>
              <w:right w:val="single" w:sz="4" w:space="0" w:color="auto"/>
            </w:tcBorders>
            <w:shd w:val="clear" w:color="000000" w:fill="FFFFFF"/>
            <w:noWrap/>
            <w:vAlign w:val="bottom"/>
            <w:hideMark/>
          </w:tcPr>
          <w:p w14:paraId="6CBD6613"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53,75%</w:t>
            </w:r>
          </w:p>
        </w:tc>
        <w:tc>
          <w:tcPr>
            <w:tcW w:w="1540" w:type="dxa"/>
            <w:tcBorders>
              <w:top w:val="nil"/>
              <w:left w:val="nil"/>
              <w:bottom w:val="single" w:sz="4" w:space="0" w:color="auto"/>
              <w:right w:val="single" w:sz="4" w:space="0" w:color="auto"/>
            </w:tcBorders>
            <w:shd w:val="clear" w:color="000000" w:fill="FFFFFF"/>
            <w:noWrap/>
            <w:vAlign w:val="bottom"/>
            <w:hideMark/>
          </w:tcPr>
          <w:p w14:paraId="3901E2C2"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3,89</w:t>
            </w:r>
          </w:p>
        </w:tc>
        <w:tc>
          <w:tcPr>
            <w:tcW w:w="1578" w:type="dxa"/>
            <w:tcBorders>
              <w:top w:val="nil"/>
              <w:left w:val="nil"/>
              <w:bottom w:val="single" w:sz="4" w:space="0" w:color="auto"/>
              <w:right w:val="single" w:sz="4" w:space="0" w:color="auto"/>
            </w:tcBorders>
            <w:shd w:val="clear" w:color="000000" w:fill="FFFFFF"/>
            <w:noWrap/>
            <w:vAlign w:val="bottom"/>
            <w:hideMark/>
          </w:tcPr>
          <w:p w14:paraId="1865100F"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2,77</w:t>
            </w:r>
          </w:p>
        </w:tc>
        <w:tc>
          <w:tcPr>
            <w:tcW w:w="1276" w:type="dxa"/>
            <w:tcBorders>
              <w:top w:val="nil"/>
              <w:left w:val="nil"/>
              <w:bottom w:val="single" w:sz="4" w:space="0" w:color="auto"/>
              <w:right w:val="single" w:sz="4" w:space="0" w:color="auto"/>
            </w:tcBorders>
            <w:shd w:val="clear" w:color="000000" w:fill="FFFFFF"/>
            <w:noWrap/>
            <w:vAlign w:val="bottom"/>
            <w:hideMark/>
          </w:tcPr>
          <w:p w14:paraId="7825D248"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23,18%</w:t>
            </w:r>
          </w:p>
        </w:tc>
        <w:tc>
          <w:tcPr>
            <w:tcW w:w="1275" w:type="dxa"/>
            <w:tcBorders>
              <w:top w:val="nil"/>
              <w:left w:val="nil"/>
              <w:bottom w:val="single" w:sz="4" w:space="0" w:color="auto"/>
              <w:right w:val="single" w:sz="4" w:space="0" w:color="auto"/>
            </w:tcBorders>
            <w:shd w:val="clear" w:color="F2F2F2" w:fill="FFFFFF"/>
            <w:noWrap/>
            <w:vAlign w:val="bottom"/>
            <w:hideMark/>
          </w:tcPr>
          <w:p w14:paraId="5E011542"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FFFFFF"/>
            <w:noWrap/>
            <w:vAlign w:val="bottom"/>
            <w:hideMark/>
          </w:tcPr>
          <w:p w14:paraId="6A995D9D"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FFFFFF"/>
            <w:noWrap/>
            <w:vAlign w:val="bottom"/>
            <w:hideMark/>
          </w:tcPr>
          <w:p w14:paraId="18A94BAB"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992" w:type="dxa"/>
            <w:tcBorders>
              <w:top w:val="nil"/>
              <w:left w:val="nil"/>
              <w:bottom w:val="single" w:sz="4" w:space="0" w:color="auto"/>
              <w:right w:val="single" w:sz="4" w:space="0" w:color="auto"/>
            </w:tcBorders>
            <w:shd w:val="clear" w:color="F2F2F2" w:fill="FFFFFF"/>
            <w:noWrap/>
            <w:vAlign w:val="bottom"/>
            <w:hideMark/>
          </w:tcPr>
          <w:p w14:paraId="31C8ADB9"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11,1945</w:t>
            </w:r>
          </w:p>
        </w:tc>
      </w:tr>
      <w:tr w:rsidR="00917F32" w:rsidRPr="00917F32" w14:paraId="41EEFC01" w14:textId="77777777" w:rsidTr="00917F32">
        <w:trPr>
          <w:trHeight w:val="285"/>
        </w:trPr>
        <w:tc>
          <w:tcPr>
            <w:tcW w:w="4402"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4D43586C"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Maksymalny przedział wartości ujemnej</w:t>
            </w:r>
          </w:p>
        </w:tc>
        <w:tc>
          <w:tcPr>
            <w:tcW w:w="1411" w:type="dxa"/>
            <w:tcBorders>
              <w:top w:val="nil"/>
              <w:left w:val="single" w:sz="4" w:space="0" w:color="auto"/>
              <w:bottom w:val="single" w:sz="4" w:space="0" w:color="auto"/>
              <w:right w:val="single" w:sz="4" w:space="0" w:color="auto"/>
            </w:tcBorders>
            <w:shd w:val="clear" w:color="000000" w:fill="FFFFFF"/>
            <w:noWrap/>
            <w:vAlign w:val="bottom"/>
            <w:hideMark/>
          </w:tcPr>
          <w:p w14:paraId="2BA40A11"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-5,43</w:t>
            </w:r>
          </w:p>
        </w:tc>
        <w:tc>
          <w:tcPr>
            <w:tcW w:w="1276" w:type="dxa"/>
            <w:tcBorders>
              <w:top w:val="nil"/>
              <w:left w:val="nil"/>
              <w:bottom w:val="single" w:sz="4" w:space="0" w:color="auto"/>
              <w:right w:val="single" w:sz="4" w:space="0" w:color="auto"/>
            </w:tcBorders>
            <w:shd w:val="clear" w:color="000000" w:fill="FFFFFF"/>
            <w:noWrap/>
            <w:vAlign w:val="bottom"/>
            <w:hideMark/>
          </w:tcPr>
          <w:p w14:paraId="4F22F80E"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51,57%</w:t>
            </w:r>
          </w:p>
        </w:tc>
        <w:tc>
          <w:tcPr>
            <w:tcW w:w="1540" w:type="dxa"/>
            <w:tcBorders>
              <w:top w:val="nil"/>
              <w:left w:val="nil"/>
              <w:bottom w:val="single" w:sz="4" w:space="0" w:color="auto"/>
              <w:right w:val="single" w:sz="4" w:space="0" w:color="auto"/>
            </w:tcBorders>
            <w:shd w:val="clear" w:color="000000" w:fill="FFFFFF"/>
            <w:noWrap/>
            <w:vAlign w:val="bottom"/>
            <w:hideMark/>
          </w:tcPr>
          <w:p w14:paraId="0B930EAD"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3,44</w:t>
            </w:r>
          </w:p>
        </w:tc>
        <w:tc>
          <w:tcPr>
            <w:tcW w:w="1578" w:type="dxa"/>
            <w:tcBorders>
              <w:top w:val="nil"/>
              <w:left w:val="nil"/>
              <w:bottom w:val="single" w:sz="4" w:space="0" w:color="auto"/>
              <w:right w:val="single" w:sz="4" w:space="0" w:color="auto"/>
            </w:tcBorders>
            <w:shd w:val="clear" w:color="000000" w:fill="FFFFFF"/>
            <w:noWrap/>
            <w:vAlign w:val="bottom"/>
            <w:hideMark/>
          </w:tcPr>
          <w:p w14:paraId="23A6B14E"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2,45</w:t>
            </w:r>
          </w:p>
        </w:tc>
        <w:tc>
          <w:tcPr>
            <w:tcW w:w="1276" w:type="dxa"/>
            <w:tcBorders>
              <w:top w:val="nil"/>
              <w:left w:val="nil"/>
              <w:bottom w:val="single" w:sz="4" w:space="0" w:color="auto"/>
              <w:right w:val="single" w:sz="4" w:space="0" w:color="auto"/>
            </w:tcBorders>
            <w:shd w:val="clear" w:color="000000" w:fill="FFFFFF"/>
            <w:noWrap/>
            <w:vAlign w:val="bottom"/>
            <w:hideMark/>
          </w:tcPr>
          <w:p w14:paraId="4CECC87D"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21,96%</w:t>
            </w:r>
          </w:p>
        </w:tc>
        <w:tc>
          <w:tcPr>
            <w:tcW w:w="1275" w:type="dxa"/>
            <w:tcBorders>
              <w:top w:val="nil"/>
              <w:left w:val="nil"/>
              <w:bottom w:val="single" w:sz="4" w:space="0" w:color="auto"/>
              <w:right w:val="single" w:sz="4" w:space="0" w:color="auto"/>
            </w:tcBorders>
            <w:shd w:val="clear" w:color="F2F2F2" w:fill="FFFFFF"/>
            <w:noWrap/>
            <w:vAlign w:val="bottom"/>
            <w:hideMark/>
          </w:tcPr>
          <w:p w14:paraId="32D4445E"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FFFFFF"/>
            <w:noWrap/>
            <w:vAlign w:val="bottom"/>
            <w:hideMark/>
          </w:tcPr>
          <w:p w14:paraId="144FA5A4"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FFFFFF"/>
            <w:noWrap/>
            <w:vAlign w:val="bottom"/>
            <w:hideMark/>
          </w:tcPr>
          <w:p w14:paraId="4E922FBC"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992" w:type="dxa"/>
            <w:tcBorders>
              <w:top w:val="nil"/>
              <w:left w:val="nil"/>
              <w:bottom w:val="single" w:sz="4" w:space="0" w:color="auto"/>
              <w:right w:val="single" w:sz="4" w:space="0" w:color="auto"/>
            </w:tcBorders>
            <w:shd w:val="clear" w:color="F2F2F2" w:fill="FFFFFF"/>
            <w:noWrap/>
            <w:vAlign w:val="bottom"/>
            <w:hideMark/>
          </w:tcPr>
          <w:p w14:paraId="593E311D"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9,8775</w:t>
            </w:r>
          </w:p>
        </w:tc>
      </w:tr>
      <w:tr w:rsidR="00917F32" w:rsidRPr="00917F32" w14:paraId="51D150F3" w14:textId="77777777" w:rsidTr="00917F32">
        <w:trPr>
          <w:trHeight w:val="285"/>
        </w:trPr>
        <w:tc>
          <w:tcPr>
            <w:tcW w:w="4402"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08467D5F"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Minimalny przedział wartości dodatniej</w:t>
            </w:r>
          </w:p>
        </w:tc>
        <w:tc>
          <w:tcPr>
            <w:tcW w:w="1411" w:type="dxa"/>
            <w:tcBorders>
              <w:top w:val="nil"/>
              <w:left w:val="single" w:sz="4" w:space="0" w:color="auto"/>
              <w:bottom w:val="single" w:sz="4" w:space="0" w:color="auto"/>
              <w:right w:val="single" w:sz="4" w:space="0" w:color="auto"/>
            </w:tcBorders>
            <w:shd w:val="clear" w:color="000000" w:fill="FFFFFF"/>
            <w:noWrap/>
            <w:vAlign w:val="bottom"/>
            <w:hideMark/>
          </w:tcPr>
          <w:p w14:paraId="1344522C"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-8,33</w:t>
            </w:r>
          </w:p>
        </w:tc>
        <w:tc>
          <w:tcPr>
            <w:tcW w:w="1276" w:type="dxa"/>
            <w:tcBorders>
              <w:top w:val="nil"/>
              <w:left w:val="nil"/>
              <w:bottom w:val="single" w:sz="4" w:space="0" w:color="auto"/>
              <w:right w:val="single" w:sz="4" w:space="0" w:color="auto"/>
            </w:tcBorders>
            <w:shd w:val="clear" w:color="000000" w:fill="FFFFFF"/>
            <w:noWrap/>
            <w:vAlign w:val="bottom"/>
            <w:hideMark/>
          </w:tcPr>
          <w:p w14:paraId="3F111F5A"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54,83%</w:t>
            </w:r>
          </w:p>
        </w:tc>
        <w:tc>
          <w:tcPr>
            <w:tcW w:w="1540" w:type="dxa"/>
            <w:tcBorders>
              <w:top w:val="nil"/>
              <w:left w:val="nil"/>
              <w:bottom w:val="single" w:sz="4" w:space="0" w:color="auto"/>
              <w:right w:val="single" w:sz="4" w:space="0" w:color="auto"/>
            </w:tcBorders>
            <w:shd w:val="clear" w:color="000000" w:fill="FFFFFF"/>
            <w:noWrap/>
            <w:vAlign w:val="bottom"/>
            <w:hideMark/>
          </w:tcPr>
          <w:p w14:paraId="0EEC9079"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5,27</w:t>
            </w:r>
          </w:p>
        </w:tc>
        <w:tc>
          <w:tcPr>
            <w:tcW w:w="1578" w:type="dxa"/>
            <w:tcBorders>
              <w:top w:val="nil"/>
              <w:left w:val="nil"/>
              <w:bottom w:val="single" w:sz="4" w:space="0" w:color="auto"/>
              <w:right w:val="single" w:sz="4" w:space="0" w:color="auto"/>
            </w:tcBorders>
            <w:shd w:val="clear" w:color="000000" w:fill="FFFFFF"/>
            <w:noWrap/>
            <w:vAlign w:val="bottom"/>
            <w:hideMark/>
          </w:tcPr>
          <w:p w14:paraId="246F1E18"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3,75</w:t>
            </w:r>
          </w:p>
        </w:tc>
        <w:tc>
          <w:tcPr>
            <w:tcW w:w="1276" w:type="dxa"/>
            <w:tcBorders>
              <w:top w:val="nil"/>
              <w:left w:val="nil"/>
              <w:bottom w:val="single" w:sz="4" w:space="0" w:color="auto"/>
              <w:right w:val="single" w:sz="4" w:space="0" w:color="auto"/>
            </w:tcBorders>
            <w:shd w:val="clear" w:color="000000" w:fill="FFFFFF"/>
            <w:noWrap/>
            <w:vAlign w:val="bottom"/>
            <w:hideMark/>
          </w:tcPr>
          <w:p w14:paraId="55E231AB"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25,62%</w:t>
            </w:r>
          </w:p>
        </w:tc>
        <w:tc>
          <w:tcPr>
            <w:tcW w:w="1275" w:type="dxa"/>
            <w:tcBorders>
              <w:top w:val="nil"/>
              <w:left w:val="nil"/>
              <w:bottom w:val="single" w:sz="4" w:space="0" w:color="auto"/>
              <w:right w:val="single" w:sz="4" w:space="0" w:color="auto"/>
            </w:tcBorders>
            <w:shd w:val="clear" w:color="F2F2F2" w:fill="FFFFFF"/>
            <w:noWrap/>
            <w:vAlign w:val="bottom"/>
            <w:hideMark/>
          </w:tcPr>
          <w:p w14:paraId="61985ABD"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FFFFFF"/>
            <w:noWrap/>
            <w:vAlign w:val="bottom"/>
            <w:hideMark/>
          </w:tcPr>
          <w:p w14:paraId="2CDDFAE6"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FFFFFF"/>
            <w:noWrap/>
            <w:vAlign w:val="bottom"/>
            <w:hideMark/>
          </w:tcPr>
          <w:p w14:paraId="5AEF1528"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992" w:type="dxa"/>
            <w:tcBorders>
              <w:top w:val="nil"/>
              <w:left w:val="nil"/>
              <w:bottom w:val="single" w:sz="4" w:space="0" w:color="auto"/>
              <w:right w:val="single" w:sz="4" w:space="0" w:color="auto"/>
            </w:tcBorders>
            <w:shd w:val="clear" w:color="F2F2F2" w:fill="FFFFFF"/>
            <w:noWrap/>
            <w:vAlign w:val="bottom"/>
            <w:hideMark/>
          </w:tcPr>
          <w:p w14:paraId="210B83F0"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15,1455</w:t>
            </w:r>
          </w:p>
        </w:tc>
      </w:tr>
      <w:tr w:rsidR="00917F32" w:rsidRPr="00917F32" w14:paraId="2EB493F1" w14:textId="77777777" w:rsidTr="00917F32">
        <w:trPr>
          <w:trHeight w:val="285"/>
        </w:trPr>
        <w:tc>
          <w:tcPr>
            <w:tcW w:w="4402"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661B4E0C"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Maksymalny przedział wartości dodatniej</w:t>
            </w:r>
          </w:p>
        </w:tc>
        <w:tc>
          <w:tcPr>
            <w:tcW w:w="1411" w:type="dxa"/>
            <w:tcBorders>
              <w:top w:val="nil"/>
              <w:left w:val="single" w:sz="4" w:space="0" w:color="auto"/>
              <w:bottom w:val="single" w:sz="4" w:space="0" w:color="auto"/>
              <w:right w:val="single" w:sz="4" w:space="0" w:color="auto"/>
            </w:tcBorders>
            <w:shd w:val="clear" w:color="000000" w:fill="FFFFFF"/>
            <w:noWrap/>
            <w:vAlign w:val="bottom"/>
            <w:hideMark/>
          </w:tcPr>
          <w:p w14:paraId="408DFF0C"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-9,05</w:t>
            </w:r>
          </w:p>
        </w:tc>
        <w:tc>
          <w:tcPr>
            <w:tcW w:w="1276" w:type="dxa"/>
            <w:tcBorders>
              <w:top w:val="nil"/>
              <w:left w:val="nil"/>
              <w:bottom w:val="single" w:sz="4" w:space="0" w:color="auto"/>
              <w:right w:val="single" w:sz="4" w:space="0" w:color="auto"/>
            </w:tcBorders>
            <w:shd w:val="clear" w:color="000000" w:fill="FFFFFF"/>
            <w:noWrap/>
            <w:vAlign w:val="bottom"/>
            <w:hideMark/>
          </w:tcPr>
          <w:p w14:paraId="227E3D49"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57,00%</w:t>
            </w:r>
          </w:p>
        </w:tc>
        <w:tc>
          <w:tcPr>
            <w:tcW w:w="1540" w:type="dxa"/>
            <w:tcBorders>
              <w:top w:val="nil"/>
              <w:left w:val="nil"/>
              <w:bottom w:val="single" w:sz="4" w:space="0" w:color="auto"/>
              <w:right w:val="single" w:sz="4" w:space="0" w:color="auto"/>
            </w:tcBorders>
            <w:shd w:val="clear" w:color="000000" w:fill="FFFFFF"/>
            <w:noWrap/>
            <w:vAlign w:val="bottom"/>
            <w:hideMark/>
          </w:tcPr>
          <w:p w14:paraId="6001EFC3"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5,73</w:t>
            </w:r>
          </w:p>
        </w:tc>
        <w:tc>
          <w:tcPr>
            <w:tcW w:w="1578" w:type="dxa"/>
            <w:tcBorders>
              <w:top w:val="nil"/>
              <w:left w:val="nil"/>
              <w:bottom w:val="single" w:sz="4" w:space="0" w:color="auto"/>
              <w:right w:val="single" w:sz="4" w:space="0" w:color="auto"/>
            </w:tcBorders>
            <w:shd w:val="clear" w:color="000000" w:fill="FFFFFF"/>
            <w:noWrap/>
            <w:vAlign w:val="bottom"/>
            <w:hideMark/>
          </w:tcPr>
          <w:p w14:paraId="4557E84D"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4,08</w:t>
            </w:r>
          </w:p>
        </w:tc>
        <w:tc>
          <w:tcPr>
            <w:tcW w:w="1276" w:type="dxa"/>
            <w:tcBorders>
              <w:top w:val="nil"/>
              <w:left w:val="nil"/>
              <w:bottom w:val="single" w:sz="4" w:space="0" w:color="auto"/>
              <w:right w:val="single" w:sz="4" w:space="0" w:color="auto"/>
            </w:tcBorders>
            <w:shd w:val="clear" w:color="000000" w:fill="FFFFFF"/>
            <w:noWrap/>
            <w:vAlign w:val="bottom"/>
            <w:hideMark/>
          </w:tcPr>
          <w:p w14:paraId="5877B15B" w14:textId="77777777" w:rsidR="006E6FF5" w:rsidRPr="006E6FF5" w:rsidRDefault="006E6FF5" w:rsidP="006E6FF5">
            <w:pPr>
              <w:suppressAutoHyphens w:val="0"/>
              <w:autoSpaceDN/>
              <w:spacing w:after="0"/>
              <w:jc w:val="right"/>
              <w:textAlignment w:val="auto"/>
              <w:rPr>
                <w:rFonts w:eastAsia="Times New Roman" w:cs="Calibri"/>
                <w:sz w:val="20"/>
                <w:szCs w:val="20"/>
                <w:lang w:eastAsia="pl-PL"/>
              </w:rPr>
            </w:pPr>
            <w:r w:rsidRPr="006E6FF5">
              <w:rPr>
                <w:rFonts w:eastAsia="Times New Roman" w:cs="Calibri"/>
                <w:sz w:val="20"/>
                <w:szCs w:val="20"/>
                <w:lang w:eastAsia="pl-PL"/>
              </w:rPr>
              <w:t>26,84%</w:t>
            </w:r>
          </w:p>
        </w:tc>
        <w:tc>
          <w:tcPr>
            <w:tcW w:w="1275" w:type="dxa"/>
            <w:tcBorders>
              <w:top w:val="nil"/>
              <w:left w:val="nil"/>
              <w:bottom w:val="single" w:sz="4" w:space="0" w:color="auto"/>
              <w:right w:val="single" w:sz="4" w:space="0" w:color="auto"/>
            </w:tcBorders>
            <w:shd w:val="clear" w:color="F2F2F2" w:fill="FFFFFF"/>
            <w:noWrap/>
            <w:vAlign w:val="bottom"/>
            <w:hideMark/>
          </w:tcPr>
          <w:p w14:paraId="02DBD2AB"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FFFFFF"/>
            <w:noWrap/>
            <w:vAlign w:val="bottom"/>
            <w:hideMark/>
          </w:tcPr>
          <w:p w14:paraId="462D9F18"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1276" w:type="dxa"/>
            <w:tcBorders>
              <w:top w:val="nil"/>
              <w:left w:val="nil"/>
              <w:bottom w:val="single" w:sz="4" w:space="0" w:color="auto"/>
              <w:right w:val="single" w:sz="4" w:space="0" w:color="auto"/>
            </w:tcBorders>
            <w:shd w:val="clear" w:color="F2F2F2" w:fill="FFFFFF"/>
            <w:noWrap/>
            <w:vAlign w:val="bottom"/>
            <w:hideMark/>
          </w:tcPr>
          <w:p w14:paraId="5F3D45AB" w14:textId="77777777" w:rsidR="006E6FF5" w:rsidRPr="006E6FF5" w:rsidRDefault="006E6FF5" w:rsidP="006E6FF5">
            <w:pPr>
              <w:suppressAutoHyphens w:val="0"/>
              <w:autoSpaceDN/>
              <w:spacing w:after="0"/>
              <w:textAlignment w:val="auto"/>
              <w:rPr>
                <w:rFonts w:eastAsia="Times New Roman" w:cs="Calibri"/>
                <w:color w:val="000000"/>
                <w:sz w:val="16"/>
                <w:szCs w:val="16"/>
                <w:lang w:eastAsia="pl-PL"/>
              </w:rPr>
            </w:pPr>
            <w:r w:rsidRPr="006E6FF5">
              <w:rPr>
                <w:rFonts w:eastAsia="Times New Roman" w:cs="Calibri"/>
                <w:color w:val="000000"/>
                <w:sz w:val="16"/>
                <w:szCs w:val="16"/>
                <w:lang w:eastAsia="pl-PL"/>
              </w:rPr>
              <w:t>dane jakościowe</w:t>
            </w:r>
          </w:p>
        </w:tc>
        <w:tc>
          <w:tcPr>
            <w:tcW w:w="992" w:type="dxa"/>
            <w:tcBorders>
              <w:top w:val="nil"/>
              <w:left w:val="nil"/>
              <w:bottom w:val="single" w:sz="4" w:space="0" w:color="auto"/>
              <w:right w:val="single" w:sz="4" w:space="0" w:color="auto"/>
            </w:tcBorders>
            <w:shd w:val="clear" w:color="F2F2F2" w:fill="FFFFFF"/>
            <w:noWrap/>
            <w:vAlign w:val="bottom"/>
            <w:hideMark/>
          </w:tcPr>
          <w:p w14:paraId="4CA69BD2"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16,4625</w:t>
            </w:r>
          </w:p>
        </w:tc>
      </w:tr>
      <w:tr w:rsidR="00917F32" w:rsidRPr="00917F32" w14:paraId="2F2F384F" w14:textId="77777777" w:rsidTr="00917F32">
        <w:trPr>
          <w:trHeight w:val="285"/>
        </w:trPr>
        <w:tc>
          <w:tcPr>
            <w:tcW w:w="4402" w:type="dxa"/>
            <w:gridSpan w:val="3"/>
            <w:tcBorders>
              <w:top w:val="single" w:sz="4" w:space="0" w:color="auto"/>
              <w:left w:val="single" w:sz="4" w:space="0" w:color="auto"/>
              <w:bottom w:val="single" w:sz="4" w:space="0" w:color="auto"/>
              <w:right w:val="single" w:sz="4" w:space="0" w:color="000000"/>
            </w:tcBorders>
            <w:shd w:val="clear" w:color="000000" w:fill="C6E0B4"/>
            <w:vAlign w:val="center"/>
            <w:hideMark/>
          </w:tcPr>
          <w:p w14:paraId="609C576B"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xml:space="preserve">Poniżej średniej </w:t>
            </w:r>
          </w:p>
        </w:tc>
        <w:tc>
          <w:tcPr>
            <w:tcW w:w="1411" w:type="dxa"/>
            <w:tcBorders>
              <w:top w:val="single" w:sz="4" w:space="0" w:color="auto"/>
              <w:left w:val="nil"/>
              <w:bottom w:val="single" w:sz="4" w:space="0" w:color="auto"/>
              <w:right w:val="single" w:sz="4" w:space="0" w:color="auto"/>
            </w:tcBorders>
            <w:shd w:val="clear" w:color="000000" w:fill="C6E0B4"/>
            <w:vAlign w:val="bottom"/>
            <w:hideMark/>
          </w:tcPr>
          <w:p w14:paraId="68D2A006"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nil"/>
              <w:left w:val="single" w:sz="4" w:space="0" w:color="auto"/>
              <w:bottom w:val="single" w:sz="4" w:space="0" w:color="auto"/>
              <w:right w:val="single" w:sz="4" w:space="0" w:color="auto"/>
            </w:tcBorders>
            <w:shd w:val="clear" w:color="F2F2F2" w:fill="F8CBAD"/>
            <w:noWrap/>
            <w:vAlign w:val="bottom"/>
            <w:hideMark/>
          </w:tcPr>
          <w:p w14:paraId="7352058E"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540" w:type="dxa"/>
            <w:tcBorders>
              <w:top w:val="nil"/>
              <w:left w:val="nil"/>
              <w:bottom w:val="single" w:sz="4" w:space="0" w:color="auto"/>
              <w:right w:val="single" w:sz="4" w:space="0" w:color="auto"/>
            </w:tcBorders>
            <w:shd w:val="clear" w:color="000000" w:fill="C6E0B4"/>
            <w:noWrap/>
            <w:vAlign w:val="center"/>
            <w:hideMark/>
          </w:tcPr>
          <w:p w14:paraId="2CAC10B3"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578" w:type="dxa"/>
            <w:tcBorders>
              <w:top w:val="nil"/>
              <w:left w:val="nil"/>
              <w:bottom w:val="single" w:sz="4" w:space="0" w:color="auto"/>
              <w:right w:val="single" w:sz="4" w:space="0" w:color="auto"/>
            </w:tcBorders>
            <w:shd w:val="clear" w:color="000000" w:fill="C6E0B4"/>
            <w:noWrap/>
            <w:vAlign w:val="bottom"/>
            <w:hideMark/>
          </w:tcPr>
          <w:p w14:paraId="60095D18"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nil"/>
              <w:left w:val="nil"/>
              <w:bottom w:val="single" w:sz="4" w:space="0" w:color="auto"/>
              <w:right w:val="single" w:sz="4" w:space="0" w:color="auto"/>
            </w:tcBorders>
            <w:shd w:val="clear" w:color="000000" w:fill="C6E0B4"/>
            <w:noWrap/>
            <w:vAlign w:val="bottom"/>
            <w:hideMark/>
          </w:tcPr>
          <w:p w14:paraId="62455927"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5" w:type="dxa"/>
            <w:tcBorders>
              <w:top w:val="nil"/>
              <w:left w:val="nil"/>
              <w:bottom w:val="single" w:sz="4" w:space="0" w:color="auto"/>
              <w:right w:val="single" w:sz="4" w:space="0" w:color="auto"/>
            </w:tcBorders>
            <w:shd w:val="clear" w:color="F2F2F2" w:fill="C6E0B4"/>
            <w:noWrap/>
            <w:vAlign w:val="bottom"/>
            <w:hideMark/>
          </w:tcPr>
          <w:p w14:paraId="197A1B8A"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nil"/>
              <w:left w:val="nil"/>
              <w:bottom w:val="single" w:sz="4" w:space="0" w:color="auto"/>
              <w:right w:val="single" w:sz="4" w:space="0" w:color="auto"/>
            </w:tcBorders>
            <w:shd w:val="clear" w:color="F2F2F2" w:fill="C6E0B4"/>
            <w:noWrap/>
            <w:vAlign w:val="bottom"/>
            <w:hideMark/>
          </w:tcPr>
          <w:p w14:paraId="7C7F45F6"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nil"/>
              <w:left w:val="nil"/>
              <w:bottom w:val="single" w:sz="4" w:space="0" w:color="auto"/>
              <w:right w:val="single" w:sz="4" w:space="0" w:color="auto"/>
            </w:tcBorders>
            <w:shd w:val="clear" w:color="F2F2F2" w:fill="C6E0B4"/>
            <w:noWrap/>
            <w:vAlign w:val="bottom"/>
            <w:hideMark/>
          </w:tcPr>
          <w:p w14:paraId="39ABDD7D"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992" w:type="dxa"/>
            <w:tcBorders>
              <w:top w:val="nil"/>
              <w:left w:val="nil"/>
              <w:bottom w:val="single" w:sz="4" w:space="0" w:color="auto"/>
              <w:right w:val="single" w:sz="4" w:space="0" w:color="auto"/>
            </w:tcBorders>
            <w:shd w:val="clear" w:color="F2F2F2" w:fill="C6E0B4"/>
            <w:noWrap/>
            <w:vAlign w:val="bottom"/>
            <w:hideMark/>
          </w:tcPr>
          <w:p w14:paraId="115CC646"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r>
      <w:tr w:rsidR="00917F32" w:rsidRPr="00917F32" w14:paraId="17B1DBEB" w14:textId="77777777" w:rsidTr="00917F32">
        <w:trPr>
          <w:trHeight w:val="285"/>
        </w:trPr>
        <w:tc>
          <w:tcPr>
            <w:tcW w:w="4402" w:type="dxa"/>
            <w:gridSpan w:val="3"/>
            <w:tcBorders>
              <w:top w:val="single" w:sz="4" w:space="0" w:color="auto"/>
              <w:left w:val="single" w:sz="4" w:space="0" w:color="auto"/>
              <w:bottom w:val="single" w:sz="4" w:space="0" w:color="auto"/>
              <w:right w:val="single" w:sz="4" w:space="0" w:color="000000"/>
            </w:tcBorders>
            <w:shd w:val="clear" w:color="000000" w:fill="FFE699"/>
            <w:vAlign w:val="center"/>
            <w:hideMark/>
          </w:tcPr>
          <w:p w14:paraId="418FF01D"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Średnia</w:t>
            </w:r>
          </w:p>
        </w:tc>
        <w:tc>
          <w:tcPr>
            <w:tcW w:w="1411" w:type="dxa"/>
            <w:tcBorders>
              <w:top w:val="nil"/>
              <w:left w:val="nil"/>
              <w:bottom w:val="single" w:sz="4" w:space="0" w:color="auto"/>
              <w:right w:val="single" w:sz="4" w:space="0" w:color="auto"/>
            </w:tcBorders>
            <w:shd w:val="clear" w:color="000000" w:fill="FFE699"/>
            <w:vAlign w:val="bottom"/>
            <w:hideMark/>
          </w:tcPr>
          <w:p w14:paraId="49FB51F7"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nil"/>
              <w:left w:val="single" w:sz="4" w:space="0" w:color="auto"/>
              <w:bottom w:val="single" w:sz="4" w:space="0" w:color="auto"/>
              <w:right w:val="single" w:sz="4" w:space="0" w:color="auto"/>
            </w:tcBorders>
            <w:shd w:val="clear" w:color="F2F2F2" w:fill="FFE699"/>
            <w:noWrap/>
            <w:vAlign w:val="bottom"/>
            <w:hideMark/>
          </w:tcPr>
          <w:p w14:paraId="49844ADE"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540" w:type="dxa"/>
            <w:tcBorders>
              <w:top w:val="nil"/>
              <w:left w:val="nil"/>
              <w:bottom w:val="single" w:sz="4" w:space="0" w:color="auto"/>
              <w:right w:val="single" w:sz="4" w:space="0" w:color="auto"/>
            </w:tcBorders>
            <w:shd w:val="clear" w:color="000000" w:fill="FFE699"/>
            <w:noWrap/>
            <w:vAlign w:val="center"/>
            <w:hideMark/>
          </w:tcPr>
          <w:p w14:paraId="73391431"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578" w:type="dxa"/>
            <w:tcBorders>
              <w:top w:val="nil"/>
              <w:left w:val="nil"/>
              <w:bottom w:val="single" w:sz="4" w:space="0" w:color="auto"/>
              <w:right w:val="single" w:sz="4" w:space="0" w:color="auto"/>
            </w:tcBorders>
            <w:shd w:val="clear" w:color="000000" w:fill="FFE699"/>
            <w:noWrap/>
            <w:vAlign w:val="bottom"/>
            <w:hideMark/>
          </w:tcPr>
          <w:p w14:paraId="6FC88B11"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7B8C0156"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5" w:type="dxa"/>
            <w:tcBorders>
              <w:top w:val="nil"/>
              <w:left w:val="nil"/>
              <w:bottom w:val="single" w:sz="4" w:space="0" w:color="auto"/>
              <w:right w:val="single" w:sz="4" w:space="0" w:color="auto"/>
            </w:tcBorders>
            <w:shd w:val="clear" w:color="F2F2F2" w:fill="FFE699"/>
            <w:noWrap/>
            <w:vAlign w:val="bottom"/>
            <w:hideMark/>
          </w:tcPr>
          <w:p w14:paraId="451C2B51"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nil"/>
              <w:left w:val="nil"/>
              <w:bottom w:val="single" w:sz="4" w:space="0" w:color="auto"/>
              <w:right w:val="single" w:sz="4" w:space="0" w:color="auto"/>
            </w:tcBorders>
            <w:shd w:val="clear" w:color="F2F2F2" w:fill="FFE699"/>
            <w:noWrap/>
            <w:vAlign w:val="bottom"/>
            <w:hideMark/>
          </w:tcPr>
          <w:p w14:paraId="64B68BA1"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nil"/>
              <w:left w:val="nil"/>
              <w:bottom w:val="single" w:sz="4" w:space="0" w:color="auto"/>
              <w:right w:val="single" w:sz="4" w:space="0" w:color="auto"/>
            </w:tcBorders>
            <w:shd w:val="clear" w:color="F2F2F2" w:fill="FFE699"/>
            <w:noWrap/>
            <w:vAlign w:val="bottom"/>
            <w:hideMark/>
          </w:tcPr>
          <w:p w14:paraId="4A178B16"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992" w:type="dxa"/>
            <w:tcBorders>
              <w:top w:val="nil"/>
              <w:left w:val="nil"/>
              <w:bottom w:val="single" w:sz="4" w:space="0" w:color="auto"/>
              <w:right w:val="single" w:sz="4" w:space="0" w:color="auto"/>
            </w:tcBorders>
            <w:shd w:val="clear" w:color="F2F2F2" w:fill="FFE699"/>
            <w:noWrap/>
            <w:vAlign w:val="bottom"/>
            <w:hideMark/>
          </w:tcPr>
          <w:p w14:paraId="043F9E8B"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r>
      <w:tr w:rsidR="00917F32" w:rsidRPr="00917F32" w14:paraId="428855E1" w14:textId="77777777" w:rsidTr="00917F32">
        <w:trPr>
          <w:trHeight w:val="285"/>
        </w:trPr>
        <w:tc>
          <w:tcPr>
            <w:tcW w:w="4402" w:type="dxa"/>
            <w:gridSpan w:val="3"/>
            <w:tcBorders>
              <w:top w:val="single" w:sz="4" w:space="0" w:color="auto"/>
              <w:left w:val="single" w:sz="4" w:space="0" w:color="auto"/>
              <w:bottom w:val="single" w:sz="4" w:space="0" w:color="auto"/>
              <w:right w:val="single" w:sz="4" w:space="0" w:color="000000"/>
            </w:tcBorders>
            <w:shd w:val="clear" w:color="000000" w:fill="F8CBAD"/>
            <w:vAlign w:val="center"/>
            <w:hideMark/>
          </w:tcPr>
          <w:p w14:paraId="1D4E7A4D"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xml:space="preserve">Powyżej średniej </w:t>
            </w:r>
          </w:p>
        </w:tc>
        <w:tc>
          <w:tcPr>
            <w:tcW w:w="1411" w:type="dxa"/>
            <w:tcBorders>
              <w:top w:val="nil"/>
              <w:left w:val="nil"/>
              <w:bottom w:val="single" w:sz="4" w:space="0" w:color="auto"/>
              <w:right w:val="single" w:sz="4" w:space="0" w:color="auto"/>
            </w:tcBorders>
            <w:shd w:val="clear" w:color="000000" w:fill="F8CBAD"/>
            <w:vAlign w:val="bottom"/>
            <w:hideMark/>
          </w:tcPr>
          <w:p w14:paraId="66B68ABA"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nil"/>
              <w:left w:val="single" w:sz="4" w:space="0" w:color="auto"/>
              <w:bottom w:val="single" w:sz="4" w:space="0" w:color="auto"/>
              <w:right w:val="single" w:sz="4" w:space="0" w:color="auto"/>
            </w:tcBorders>
            <w:shd w:val="clear" w:color="F2F2F2" w:fill="C6E0B4"/>
            <w:noWrap/>
            <w:vAlign w:val="bottom"/>
            <w:hideMark/>
          </w:tcPr>
          <w:p w14:paraId="03F4E89A"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540" w:type="dxa"/>
            <w:tcBorders>
              <w:top w:val="nil"/>
              <w:left w:val="nil"/>
              <w:bottom w:val="single" w:sz="4" w:space="0" w:color="auto"/>
              <w:right w:val="single" w:sz="4" w:space="0" w:color="auto"/>
            </w:tcBorders>
            <w:shd w:val="clear" w:color="000000" w:fill="F8CBAD"/>
            <w:noWrap/>
            <w:vAlign w:val="center"/>
            <w:hideMark/>
          </w:tcPr>
          <w:p w14:paraId="658C060E" w14:textId="77777777" w:rsidR="006E6FF5" w:rsidRPr="006E6FF5" w:rsidRDefault="006E6FF5" w:rsidP="006E6FF5">
            <w:pPr>
              <w:suppressAutoHyphens w:val="0"/>
              <w:autoSpaceDN/>
              <w:spacing w:after="0"/>
              <w:jc w:val="right"/>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578" w:type="dxa"/>
            <w:tcBorders>
              <w:top w:val="nil"/>
              <w:left w:val="nil"/>
              <w:bottom w:val="single" w:sz="4" w:space="0" w:color="auto"/>
              <w:right w:val="single" w:sz="4" w:space="0" w:color="auto"/>
            </w:tcBorders>
            <w:shd w:val="clear" w:color="000000" w:fill="F8CBAD"/>
            <w:noWrap/>
            <w:vAlign w:val="bottom"/>
            <w:hideMark/>
          </w:tcPr>
          <w:p w14:paraId="47D12412"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nil"/>
              <w:left w:val="nil"/>
              <w:bottom w:val="single" w:sz="4" w:space="0" w:color="auto"/>
              <w:right w:val="single" w:sz="4" w:space="0" w:color="auto"/>
            </w:tcBorders>
            <w:shd w:val="clear" w:color="000000" w:fill="F8CBAD"/>
            <w:noWrap/>
            <w:vAlign w:val="bottom"/>
            <w:hideMark/>
          </w:tcPr>
          <w:p w14:paraId="3D61B057"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5" w:type="dxa"/>
            <w:tcBorders>
              <w:top w:val="nil"/>
              <w:left w:val="nil"/>
              <w:bottom w:val="single" w:sz="4" w:space="0" w:color="auto"/>
              <w:right w:val="single" w:sz="4" w:space="0" w:color="auto"/>
            </w:tcBorders>
            <w:shd w:val="clear" w:color="F2F2F2" w:fill="F8CBAD"/>
            <w:noWrap/>
            <w:vAlign w:val="bottom"/>
            <w:hideMark/>
          </w:tcPr>
          <w:p w14:paraId="67B6BF5D"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nil"/>
              <w:left w:val="nil"/>
              <w:bottom w:val="single" w:sz="4" w:space="0" w:color="auto"/>
              <w:right w:val="single" w:sz="4" w:space="0" w:color="auto"/>
            </w:tcBorders>
            <w:shd w:val="clear" w:color="F2F2F2" w:fill="F8CBAD"/>
            <w:noWrap/>
            <w:vAlign w:val="bottom"/>
            <w:hideMark/>
          </w:tcPr>
          <w:p w14:paraId="68D830BE"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1276" w:type="dxa"/>
            <w:tcBorders>
              <w:top w:val="nil"/>
              <w:left w:val="nil"/>
              <w:bottom w:val="single" w:sz="4" w:space="0" w:color="auto"/>
              <w:right w:val="single" w:sz="4" w:space="0" w:color="auto"/>
            </w:tcBorders>
            <w:shd w:val="clear" w:color="F2F2F2" w:fill="F8CBAD"/>
            <w:noWrap/>
            <w:vAlign w:val="bottom"/>
            <w:hideMark/>
          </w:tcPr>
          <w:p w14:paraId="48D2E0AF"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c>
          <w:tcPr>
            <w:tcW w:w="992" w:type="dxa"/>
            <w:tcBorders>
              <w:top w:val="nil"/>
              <w:left w:val="nil"/>
              <w:bottom w:val="single" w:sz="4" w:space="0" w:color="auto"/>
              <w:right w:val="single" w:sz="4" w:space="0" w:color="auto"/>
            </w:tcBorders>
            <w:shd w:val="clear" w:color="F2F2F2" w:fill="F8CBAD"/>
            <w:noWrap/>
            <w:vAlign w:val="bottom"/>
            <w:hideMark/>
          </w:tcPr>
          <w:p w14:paraId="5D02767C" w14:textId="77777777" w:rsidR="006E6FF5" w:rsidRPr="006E6FF5" w:rsidRDefault="006E6FF5" w:rsidP="006E6FF5">
            <w:pPr>
              <w:suppressAutoHyphens w:val="0"/>
              <w:autoSpaceDN/>
              <w:spacing w:after="0"/>
              <w:textAlignment w:val="auto"/>
              <w:rPr>
                <w:rFonts w:eastAsia="Times New Roman" w:cs="Calibri"/>
                <w:color w:val="000000"/>
                <w:sz w:val="20"/>
                <w:szCs w:val="20"/>
                <w:lang w:eastAsia="pl-PL"/>
              </w:rPr>
            </w:pPr>
            <w:r w:rsidRPr="006E6FF5">
              <w:rPr>
                <w:rFonts w:eastAsia="Times New Roman" w:cs="Calibri"/>
                <w:color w:val="000000"/>
                <w:sz w:val="20"/>
                <w:szCs w:val="20"/>
                <w:lang w:eastAsia="pl-PL"/>
              </w:rPr>
              <w:t> </w:t>
            </w:r>
          </w:p>
        </w:tc>
      </w:tr>
    </w:tbl>
    <w:p w14:paraId="41620A4D" w14:textId="77C93FFD" w:rsidR="00BF4FFC" w:rsidRPr="00312FAA" w:rsidRDefault="009871AE">
      <w:pPr>
        <w:spacing w:before="120" w:after="0" w:line="264" w:lineRule="auto"/>
        <w:sectPr w:rsidR="00BF4FFC" w:rsidRPr="00312FAA" w:rsidSect="000913E2">
          <w:footerReference w:type="default" r:id="rId12"/>
          <w:pgSz w:w="16838" w:h="11906" w:orient="landscape"/>
          <w:pgMar w:top="924" w:right="1304" w:bottom="1304" w:left="1304" w:header="851" w:footer="709" w:gutter="0"/>
          <w:cols w:space="708"/>
        </w:sectPr>
      </w:pPr>
      <w:r w:rsidRPr="00312FAA">
        <w:t>Źródło: Opracowanie własn</w:t>
      </w:r>
      <w:r w:rsidR="004B2CC1" w:rsidRPr="00312FAA">
        <w:t>e</w:t>
      </w:r>
    </w:p>
    <w:p w14:paraId="1DAB31B3" w14:textId="4B1DC7A7" w:rsidR="006E6FF5" w:rsidRPr="006E6FF5" w:rsidRDefault="004B2CC1" w:rsidP="006E6FF5">
      <w:pPr>
        <w:spacing w:before="120" w:after="0" w:line="264" w:lineRule="auto"/>
        <w:rPr>
          <w:b/>
          <w:bCs/>
          <w:sz w:val="24"/>
          <w:szCs w:val="24"/>
        </w:rPr>
      </w:pPr>
      <w:r w:rsidRPr="002D6249">
        <w:rPr>
          <w:sz w:val="24"/>
          <w:szCs w:val="24"/>
        </w:rPr>
        <w:lastRenderedPageBreak/>
        <w:t>Podsumowując,</w:t>
      </w:r>
      <w:r>
        <w:rPr>
          <w:b/>
          <w:bCs/>
          <w:sz w:val="24"/>
          <w:szCs w:val="24"/>
        </w:rPr>
        <w:t xml:space="preserve"> </w:t>
      </w:r>
      <w:r w:rsidR="006E6FF5">
        <w:rPr>
          <w:sz w:val="24"/>
          <w:szCs w:val="24"/>
        </w:rPr>
        <w:t>w</w:t>
      </w:r>
      <w:r w:rsidR="006E6FF5" w:rsidRPr="006E6FF5">
        <w:rPr>
          <w:sz w:val="24"/>
          <w:szCs w:val="24"/>
        </w:rPr>
        <w:t xml:space="preserve">artość średnia IMD Społeczne dla gminy wynosi </w:t>
      </w:r>
      <w:r w:rsidR="006E6FF5" w:rsidRPr="006E6FF5">
        <w:rPr>
          <w:b/>
          <w:bCs/>
          <w:sz w:val="24"/>
          <w:szCs w:val="24"/>
        </w:rPr>
        <w:t>13,17</w:t>
      </w:r>
      <w:r w:rsidR="006E6FF5" w:rsidRPr="006E6FF5">
        <w:rPr>
          <w:sz w:val="24"/>
          <w:szCs w:val="24"/>
        </w:rPr>
        <w:t xml:space="preserve">, a przyjęty przedział „średniej” określono na </w:t>
      </w:r>
      <w:r w:rsidR="006E6FF5" w:rsidRPr="006E6FF5">
        <w:rPr>
          <w:b/>
          <w:bCs/>
          <w:sz w:val="24"/>
          <w:szCs w:val="24"/>
        </w:rPr>
        <w:t>11–16</w:t>
      </w:r>
      <w:r w:rsidR="006E6FF5" w:rsidRPr="006E6FF5">
        <w:rPr>
          <w:sz w:val="24"/>
          <w:szCs w:val="24"/>
        </w:rPr>
        <w:t xml:space="preserve">, co umożliwia wyodrębnienie trzech klas: jednostki o wartościach </w:t>
      </w:r>
      <w:r w:rsidR="006E6FF5" w:rsidRPr="006E6FF5">
        <w:rPr>
          <w:i/>
          <w:iCs/>
          <w:sz w:val="24"/>
          <w:szCs w:val="24"/>
        </w:rPr>
        <w:t>powyżej średniej</w:t>
      </w:r>
      <w:r w:rsidR="006E6FF5" w:rsidRPr="006E6FF5">
        <w:rPr>
          <w:sz w:val="24"/>
          <w:szCs w:val="24"/>
        </w:rPr>
        <w:t xml:space="preserve"> (IMD &gt; 16), </w:t>
      </w:r>
      <w:r w:rsidR="006E6FF5" w:rsidRPr="006E6FF5">
        <w:rPr>
          <w:i/>
          <w:iCs/>
          <w:sz w:val="24"/>
          <w:szCs w:val="24"/>
        </w:rPr>
        <w:t>w przedziale średnim</w:t>
      </w:r>
      <w:r w:rsidR="006E6FF5" w:rsidRPr="006E6FF5">
        <w:rPr>
          <w:sz w:val="24"/>
          <w:szCs w:val="24"/>
        </w:rPr>
        <w:t xml:space="preserve"> (11–16) oraz </w:t>
      </w:r>
      <w:r w:rsidR="006E6FF5" w:rsidRPr="006E6FF5">
        <w:rPr>
          <w:i/>
          <w:iCs/>
          <w:sz w:val="24"/>
          <w:szCs w:val="24"/>
        </w:rPr>
        <w:t>poniżej średniej</w:t>
      </w:r>
      <w:r w:rsidR="006E6FF5" w:rsidRPr="006E6FF5">
        <w:rPr>
          <w:sz w:val="24"/>
          <w:szCs w:val="24"/>
        </w:rPr>
        <w:t xml:space="preserve"> (IMD &lt; 11). Z analizy tabeli wynika wyraźna polaryzacja problemów społecznych: do grupy o najwyższym natężeniu (IMD &gt; 16) należą przede wszystkim jednostki miejskie — </w:t>
      </w:r>
      <w:r w:rsidR="006E6FF5" w:rsidRPr="006E6FF5">
        <w:rPr>
          <w:b/>
          <w:bCs/>
          <w:sz w:val="24"/>
          <w:szCs w:val="24"/>
        </w:rPr>
        <w:t>Osiedle nr 3 (29), Osiedle nr 1 (27) i Osiedle nr 2 (24)</w:t>
      </w:r>
      <w:r w:rsidR="006E6FF5" w:rsidRPr="006E6FF5">
        <w:rPr>
          <w:sz w:val="24"/>
          <w:szCs w:val="24"/>
        </w:rPr>
        <w:t xml:space="preserve"> — oraz dwa dodatkowe obszary o istotnym natężeniu problemów: </w:t>
      </w:r>
      <w:r w:rsidR="006E6FF5" w:rsidRPr="006E6FF5">
        <w:rPr>
          <w:b/>
          <w:bCs/>
          <w:sz w:val="24"/>
          <w:szCs w:val="24"/>
        </w:rPr>
        <w:t>Osiedle nr 4 (20)</w:t>
      </w:r>
      <w:r w:rsidR="006E6FF5" w:rsidRPr="006E6FF5">
        <w:rPr>
          <w:sz w:val="24"/>
          <w:szCs w:val="24"/>
        </w:rPr>
        <w:t xml:space="preserve"> i </w:t>
      </w:r>
      <w:r w:rsidR="006E6FF5" w:rsidRPr="006E6FF5">
        <w:rPr>
          <w:b/>
          <w:bCs/>
          <w:sz w:val="24"/>
          <w:szCs w:val="24"/>
        </w:rPr>
        <w:t>Sołectwo Kajew (19)</w:t>
      </w:r>
      <w:r w:rsidR="006E6FF5" w:rsidRPr="006E6FF5">
        <w:rPr>
          <w:sz w:val="24"/>
          <w:szCs w:val="24"/>
        </w:rPr>
        <w:t xml:space="preserve">; marginalnie powyżej progu mieści się także </w:t>
      </w:r>
      <w:r w:rsidR="006E6FF5" w:rsidRPr="006E6FF5">
        <w:rPr>
          <w:b/>
          <w:bCs/>
          <w:sz w:val="24"/>
          <w:szCs w:val="24"/>
        </w:rPr>
        <w:t>Osiedle nr 5 (17)</w:t>
      </w:r>
      <w:r w:rsidR="006E6FF5" w:rsidRPr="006E6FF5">
        <w:rPr>
          <w:sz w:val="24"/>
          <w:szCs w:val="24"/>
        </w:rPr>
        <w:t>. Te jednostki wyróżniają się wskaźnikami znacznie przekraczającymi średnią gminną i stanowią główne „ogniska” deficytów społecznych.</w:t>
      </w:r>
    </w:p>
    <w:p w14:paraId="4B9E5A65" w14:textId="77777777" w:rsidR="006E6FF5" w:rsidRPr="006E6FF5" w:rsidRDefault="006E6FF5" w:rsidP="006E6FF5">
      <w:pPr>
        <w:spacing w:before="120" w:after="0" w:line="264" w:lineRule="auto"/>
        <w:rPr>
          <w:sz w:val="24"/>
          <w:szCs w:val="24"/>
        </w:rPr>
      </w:pPr>
      <w:r w:rsidRPr="006E6FF5">
        <w:rPr>
          <w:sz w:val="24"/>
          <w:szCs w:val="24"/>
        </w:rPr>
        <w:t xml:space="preserve">W grupie umiarkowanej (IMD 11–16) znajdują się przede wszystkim pozostałe osiedla miejskie i część sołectw o średnim nasileniu problemów, w tym </w:t>
      </w:r>
      <w:r w:rsidRPr="006E6FF5">
        <w:rPr>
          <w:b/>
          <w:bCs/>
          <w:sz w:val="24"/>
          <w:szCs w:val="24"/>
        </w:rPr>
        <w:t>Osiedle nr 6 (14)</w:t>
      </w:r>
      <w:r w:rsidRPr="006E6FF5">
        <w:rPr>
          <w:sz w:val="24"/>
          <w:szCs w:val="24"/>
        </w:rPr>
        <w:t xml:space="preserve"> oraz sołectwa takie jak </w:t>
      </w:r>
      <w:r w:rsidRPr="006E6FF5">
        <w:rPr>
          <w:b/>
          <w:bCs/>
          <w:sz w:val="24"/>
          <w:szCs w:val="24"/>
        </w:rPr>
        <w:t>Pawlikowice (15), Kajew (19)</w:t>
      </w:r>
      <w:r w:rsidRPr="006E6FF5">
        <w:rPr>
          <w:sz w:val="24"/>
          <w:szCs w:val="24"/>
        </w:rPr>
        <w:t xml:space="preserve"> (Kajew już jednak w wyższej grupie), </w:t>
      </w:r>
      <w:r w:rsidRPr="006E6FF5">
        <w:rPr>
          <w:b/>
          <w:bCs/>
          <w:sz w:val="24"/>
          <w:szCs w:val="24"/>
        </w:rPr>
        <w:t>Luboradz (12)</w:t>
      </w:r>
      <w:r w:rsidRPr="006E6FF5">
        <w:rPr>
          <w:sz w:val="24"/>
          <w:szCs w:val="24"/>
        </w:rPr>
        <w:t xml:space="preserve">, </w:t>
      </w:r>
      <w:r w:rsidRPr="006E6FF5">
        <w:rPr>
          <w:b/>
          <w:bCs/>
          <w:sz w:val="24"/>
          <w:szCs w:val="24"/>
        </w:rPr>
        <w:t>Zieleniew (12)</w:t>
      </w:r>
      <w:r w:rsidRPr="006E6FF5">
        <w:rPr>
          <w:sz w:val="24"/>
          <w:szCs w:val="24"/>
        </w:rPr>
        <w:t xml:space="preserve"> i kilka innych o wartościach w okolicach średniej. Grupa ta charakteryzuje się obecnością zarówno problemów dochodowych, jak i umiarkowanych trudności opiekuńczych lub rodzinnych — zakres oddziaływania problemów jest tu mniejszy niż w „gorących” jednostkach, lecz wymaga ukierunkowanych działań profilaktycznych i utrzymaniowych.</w:t>
      </w:r>
    </w:p>
    <w:p w14:paraId="14FEC1A4" w14:textId="77777777" w:rsidR="006E6FF5" w:rsidRPr="006E6FF5" w:rsidRDefault="006E6FF5" w:rsidP="006E6FF5">
      <w:pPr>
        <w:spacing w:before="120" w:after="0" w:line="264" w:lineRule="auto"/>
        <w:rPr>
          <w:sz w:val="24"/>
          <w:szCs w:val="24"/>
        </w:rPr>
      </w:pPr>
      <w:r w:rsidRPr="006E6FF5">
        <w:rPr>
          <w:sz w:val="24"/>
          <w:szCs w:val="24"/>
        </w:rPr>
        <w:t xml:space="preserve">Z kolei w kategorii poniżej średniej (IMD &lt; 11) mieści się większość sołectw wiejskich: m.in. </w:t>
      </w:r>
      <w:r w:rsidRPr="006E6FF5">
        <w:rPr>
          <w:b/>
          <w:bCs/>
          <w:sz w:val="24"/>
          <w:szCs w:val="24"/>
        </w:rPr>
        <w:t>Suchodoły (8), Wychny (8), Wymysłów (8), Nowe (9), Zalesie (9)</w:t>
      </w:r>
      <w:r w:rsidRPr="006E6FF5">
        <w:rPr>
          <w:sz w:val="24"/>
          <w:szCs w:val="24"/>
        </w:rPr>
        <w:t xml:space="preserve"> oraz kilka mniejszych miejscowości i osiedli (wartości rzędu 10 lub mniej). Niskie wartości IMD w tych jednostkach oznaczają relatywnie niższe natężenie problemów społecznych w sensie syntetycznym, ale nie wykluczają punktowych barier (np. starzenia się populacji, niskiej dostępności usług), które wymagają lokalnej uwagi mimo ogólnie korzystniejszego wyniku.</w:t>
      </w:r>
    </w:p>
    <w:p w14:paraId="0C57681A" w14:textId="77777777" w:rsidR="006E6FF5" w:rsidRPr="006E6FF5" w:rsidRDefault="006E6FF5" w:rsidP="006E6FF5">
      <w:pPr>
        <w:spacing w:before="120" w:after="0" w:line="264" w:lineRule="auto"/>
        <w:rPr>
          <w:sz w:val="24"/>
          <w:szCs w:val="24"/>
        </w:rPr>
      </w:pPr>
      <w:r w:rsidRPr="006E6FF5">
        <w:rPr>
          <w:sz w:val="24"/>
          <w:szCs w:val="24"/>
        </w:rPr>
        <w:t xml:space="preserve">Przestrzenny układ IMD Społecznego wskazuje na dwie zasadnicze obserwacje: po pierwsze, </w:t>
      </w:r>
      <w:r w:rsidRPr="006E6FF5">
        <w:rPr>
          <w:b/>
          <w:bCs/>
          <w:sz w:val="24"/>
          <w:szCs w:val="24"/>
        </w:rPr>
        <w:t>miasto Krośniewice (szczególnie osiedla nr 1–3)</w:t>
      </w:r>
      <w:r w:rsidRPr="006E6FF5">
        <w:rPr>
          <w:sz w:val="24"/>
          <w:szCs w:val="24"/>
        </w:rPr>
        <w:t xml:space="preserve"> jest wyraźnym centrum kumulacji problemów społecznych, łącząc wysokie wartości IMD z wcześniej zdiagnozowanymi zjawiskami (wysokie bezrobocie, depopulacja części osiedli, wyższa rotacja podmiotów gospodarczych); po drugie, </w:t>
      </w:r>
      <w:r w:rsidRPr="006E6FF5">
        <w:rPr>
          <w:b/>
          <w:bCs/>
          <w:sz w:val="24"/>
          <w:szCs w:val="24"/>
        </w:rPr>
        <w:t>wieś wykazuje rozproszone, zwykle niższe natężenie problemów</w:t>
      </w:r>
      <w:r w:rsidRPr="006E6FF5">
        <w:rPr>
          <w:sz w:val="24"/>
          <w:szCs w:val="24"/>
        </w:rPr>
        <w:t>, choć obecne są pojedyncze sołectwa z umiarkowanymi trudnościami. Taki wzorzec sugeruje, że trudności społeczne mają zarówno charakter miejski (koncentracja wielowymiarowych deficytów), jak i punktowy wiejski (izolowane ogniska ryzyka).</w:t>
      </w:r>
    </w:p>
    <w:p w14:paraId="4C7181F7" w14:textId="0C90E731" w:rsidR="006E6FF5" w:rsidRPr="006E6FF5" w:rsidRDefault="006E6FF5" w:rsidP="004B2CC1">
      <w:pPr>
        <w:spacing w:before="120" w:after="0" w:line="264" w:lineRule="auto"/>
        <w:rPr>
          <w:sz w:val="24"/>
          <w:szCs w:val="24"/>
        </w:rPr>
      </w:pPr>
      <w:r w:rsidRPr="006E6FF5">
        <w:rPr>
          <w:sz w:val="24"/>
          <w:szCs w:val="24"/>
        </w:rPr>
        <w:t>Z praktycznego punktu widzenia IMD Społeczne wskazuje priorytetowe tereny interwencji: miasto (osiedla 1–3 oraz 4–5) oraz wybrane sołectwa o wartościach powyżej 16 (np. Kajew). Na tych obszarach rekomendowane są intensywne działania łączące wsparcie dochodowe i aktywizację zawodową, wzmocnienie pracy socjalnej, rozwój usług opiekuńczych i programów przeciwdziałania marginalizacji. W jednostkach o średnim IMD należy prowadzić działania profilaktyczne i utrzymujące dostęp do podstawowych usług, natomiast w sołectwach o najniższych wartościach warto skoncentrować się na utrzymaniu dostępności usług i łagodzeniu ryzyka demograficznego (starzenie, dostępność transportu i usług).</w:t>
      </w:r>
    </w:p>
    <w:p w14:paraId="2DDF6DB8" w14:textId="77777777" w:rsidR="00BF4FFC" w:rsidRDefault="009871AE" w:rsidP="003D2355">
      <w:pPr>
        <w:pStyle w:val="Nagwek2"/>
      </w:pPr>
      <w:bookmarkStart w:id="106" w:name="_Toc67141074"/>
      <w:bookmarkStart w:id="107" w:name="_Toc67307376"/>
      <w:bookmarkStart w:id="108" w:name="_Toc67310279"/>
      <w:bookmarkStart w:id="109" w:name="_Toc97015007"/>
      <w:bookmarkStart w:id="110" w:name="_Toc97100740"/>
      <w:bookmarkStart w:id="111" w:name="_Toc97364981"/>
      <w:bookmarkStart w:id="112" w:name="_Toc97365027"/>
      <w:bookmarkStart w:id="113" w:name="_Toc108591673"/>
      <w:bookmarkStart w:id="114" w:name="_Toc108592685"/>
      <w:bookmarkStart w:id="115" w:name="_Toc108592750"/>
      <w:bookmarkStart w:id="116" w:name="_Toc133584136"/>
      <w:bookmarkStart w:id="117" w:name="_Toc138666210"/>
      <w:bookmarkStart w:id="118" w:name="_Toc219271388"/>
      <w:r>
        <w:t>Analiza uwarunkowań gospodarczych</w:t>
      </w:r>
      <w:bookmarkEnd w:id="106"/>
      <w:bookmarkEnd w:id="107"/>
      <w:bookmarkEnd w:id="108"/>
      <w:bookmarkEnd w:id="109"/>
      <w:bookmarkEnd w:id="110"/>
      <w:bookmarkEnd w:id="111"/>
      <w:bookmarkEnd w:id="112"/>
      <w:bookmarkEnd w:id="113"/>
      <w:bookmarkEnd w:id="114"/>
      <w:bookmarkEnd w:id="115"/>
      <w:bookmarkEnd w:id="116"/>
      <w:bookmarkEnd w:id="117"/>
      <w:bookmarkEnd w:id="118"/>
      <w:r>
        <w:t xml:space="preserve"> </w:t>
      </w:r>
    </w:p>
    <w:p w14:paraId="0B7C9FF8" w14:textId="421D1EB2" w:rsidR="00295F1A" w:rsidRDefault="009871AE" w:rsidP="004C7B43">
      <w:pPr>
        <w:spacing w:before="120" w:after="0" w:line="264" w:lineRule="auto"/>
        <w:rPr>
          <w:sz w:val="24"/>
          <w:szCs w:val="24"/>
        </w:rPr>
      </w:pPr>
      <w:r>
        <w:rPr>
          <w:sz w:val="24"/>
          <w:szCs w:val="24"/>
        </w:rPr>
        <w:t xml:space="preserve">Zgodnie z ustawą o rewitalizacji o wyznaczeniu obszaru zdegradowanego i obszaru rewitalizacji, poza natężeniem problemów społecznych, decydować będzie występowanie dodatkowych negatywnych </w:t>
      </w:r>
      <w:r>
        <w:rPr>
          <w:sz w:val="24"/>
          <w:szCs w:val="24"/>
        </w:rPr>
        <w:lastRenderedPageBreak/>
        <w:t xml:space="preserve">zjawisk, w tym przypadku negatywnych zjawisk gospodarczych – w szczególności niskiego stopnia przedsiębiorczości, słabej kondycji lokalnych przedsiębiorstw. </w:t>
      </w:r>
    </w:p>
    <w:p w14:paraId="1EDBAFA4" w14:textId="28AD6043" w:rsidR="006E6FF5" w:rsidRDefault="006E6FF5" w:rsidP="004C7B43">
      <w:pPr>
        <w:spacing w:before="120" w:after="0" w:line="264" w:lineRule="auto"/>
        <w:rPr>
          <w:sz w:val="24"/>
          <w:szCs w:val="24"/>
        </w:rPr>
      </w:pPr>
      <w:r w:rsidRPr="006E6FF5">
        <w:rPr>
          <w:sz w:val="24"/>
          <w:szCs w:val="24"/>
        </w:rPr>
        <w:t xml:space="preserve">W Krośniewicach w roku 2024 </w:t>
      </w:r>
      <w:r>
        <w:rPr>
          <w:sz w:val="24"/>
          <w:szCs w:val="24"/>
        </w:rPr>
        <w:t xml:space="preserve">na podstawie danych GUS BDL </w:t>
      </w:r>
      <w:r w:rsidRPr="006E6FF5">
        <w:rPr>
          <w:sz w:val="24"/>
          <w:szCs w:val="24"/>
        </w:rPr>
        <w:t xml:space="preserve">w rejestrze REGON zarejestrowane były </w:t>
      </w:r>
      <w:r>
        <w:rPr>
          <w:sz w:val="24"/>
          <w:szCs w:val="24"/>
        </w:rPr>
        <w:t>524</w:t>
      </w:r>
      <w:r w:rsidRPr="006E6FF5">
        <w:rPr>
          <w:sz w:val="24"/>
          <w:szCs w:val="24"/>
        </w:rPr>
        <w:t xml:space="preserve"> </w:t>
      </w:r>
      <w:r>
        <w:rPr>
          <w:sz w:val="24"/>
          <w:szCs w:val="24"/>
        </w:rPr>
        <w:t>firmy. Wg. danych Urzędu Miejskiego w Krośniewicach, w</w:t>
      </w:r>
      <w:r w:rsidRPr="006E6FF5">
        <w:rPr>
          <w:sz w:val="24"/>
          <w:szCs w:val="24"/>
        </w:rPr>
        <w:t xml:space="preserve"> 2024 r. nastąpiły</w:t>
      </w:r>
      <w:r>
        <w:rPr>
          <w:sz w:val="24"/>
          <w:szCs w:val="24"/>
        </w:rPr>
        <w:t xml:space="preserve"> z</w:t>
      </w:r>
      <w:r w:rsidRPr="006E6FF5">
        <w:rPr>
          <w:sz w:val="24"/>
          <w:szCs w:val="24"/>
        </w:rPr>
        <w:t>ałożenia działalności gospodarczej w systemie CEIDG – 16</w:t>
      </w:r>
      <w:r>
        <w:rPr>
          <w:sz w:val="24"/>
          <w:szCs w:val="24"/>
        </w:rPr>
        <w:t>, w</w:t>
      </w:r>
      <w:r w:rsidRPr="006E6FF5">
        <w:rPr>
          <w:sz w:val="24"/>
          <w:szCs w:val="24"/>
        </w:rPr>
        <w:t>ykreślenia działalności w CEIDG – 12</w:t>
      </w:r>
      <w:r>
        <w:rPr>
          <w:sz w:val="24"/>
          <w:szCs w:val="24"/>
        </w:rPr>
        <w:t>, z</w:t>
      </w:r>
      <w:r w:rsidRPr="006E6FF5">
        <w:rPr>
          <w:sz w:val="24"/>
          <w:szCs w:val="24"/>
        </w:rPr>
        <w:t>miany działalności gospodarczej w systemie CEIDG – 41</w:t>
      </w:r>
      <w:r>
        <w:rPr>
          <w:sz w:val="24"/>
          <w:szCs w:val="24"/>
        </w:rPr>
        <w:t>, z</w:t>
      </w:r>
      <w:r w:rsidRPr="006E6FF5">
        <w:rPr>
          <w:sz w:val="24"/>
          <w:szCs w:val="24"/>
        </w:rPr>
        <w:t>awieszenia działalności gospodarczej w CEIDG – 23</w:t>
      </w:r>
      <w:r>
        <w:rPr>
          <w:sz w:val="24"/>
          <w:szCs w:val="24"/>
        </w:rPr>
        <w:t xml:space="preserve"> oraz w</w:t>
      </w:r>
      <w:r w:rsidRPr="006E6FF5">
        <w:rPr>
          <w:sz w:val="24"/>
          <w:szCs w:val="24"/>
        </w:rPr>
        <w:t>znowienia działalności gospodarczej w CEIDG – 16.</w:t>
      </w:r>
      <w:r>
        <w:rPr>
          <w:sz w:val="24"/>
          <w:szCs w:val="24"/>
        </w:rPr>
        <w:t xml:space="preserve"> </w:t>
      </w:r>
      <w:r w:rsidRPr="006E6FF5">
        <w:rPr>
          <w:sz w:val="24"/>
          <w:szCs w:val="24"/>
        </w:rPr>
        <w:t>Do systemu CEIDG zostały wprowadzone 22 decyzje w sprawie zezwoleń na sprzedaż napojów alkoholowych na terenie Gminy Krośniewice.</w:t>
      </w:r>
      <w:r>
        <w:rPr>
          <w:sz w:val="24"/>
          <w:szCs w:val="24"/>
        </w:rPr>
        <w:t xml:space="preserve"> </w:t>
      </w:r>
      <w:r w:rsidRPr="006E6FF5">
        <w:rPr>
          <w:sz w:val="24"/>
          <w:szCs w:val="24"/>
        </w:rPr>
        <w:t>Zostało wydane 1 zaświadczenie o figurowaniu przedsiębiorcy w archiwalnej ewidencji działalności gospodarczej prowadzonej przez Burmistrza Krośniewic.</w:t>
      </w:r>
    </w:p>
    <w:p w14:paraId="22CBC007" w14:textId="09D72CBB" w:rsidR="006E6FF5" w:rsidRDefault="006E6FF5" w:rsidP="004C7B43">
      <w:pPr>
        <w:spacing w:before="120" w:after="0" w:line="264" w:lineRule="auto"/>
        <w:rPr>
          <w:sz w:val="24"/>
          <w:szCs w:val="24"/>
        </w:rPr>
      </w:pPr>
      <w:r w:rsidRPr="006E6FF5">
        <w:rPr>
          <w:sz w:val="24"/>
          <w:szCs w:val="24"/>
        </w:rPr>
        <w:t>Na przestrzeni lat 2009-2024 najwięcej (40) podmiotów zarejestrowano w roku 2015, a najmniej (15) w roku 2023. W tym samym okresie najwięcej (75) podmiotów wykreślono z rejestru REGON w 2009 roku, najmniej (12) podmiotów wyrejestrowano natomiast w 2024 roku. Według danych z rejestru REGON wśród podmiotów posiadających osobowość prawną w Krośniewicach najwięcej (29) jest stanowiących spółki cywilne. Analizując rejestr pod kątem liczby zatrudnionych pracowników można stwierdzić, że najwięcej (282) jest mikro-przedsiębiorstw, zatrudniających 0 - 9 pracowników. 1,0% (3) podmiotów jako rodzaj działalności deklarowało rolnictwo, leśnictwo, łowiectwo i rybactwo, jako przemysł i budownictwo swój rodzaj działalności deklarowało 22,0% (67) podmiotów, a 77,0% (234) podmiotów w rejestrze zakwalifikowana jest jako pozostała działalność. Wśród osób fizycznych prowadzących działalność gospodarczą w Krośniewicach najczęściej deklarowanymi rodzajami przeważającej działalności są Handel hurtowy i detaliczny; naprawa pojazdów samochodowych, włączając motocykle (33</w:t>
      </w:r>
      <w:r>
        <w:rPr>
          <w:sz w:val="24"/>
          <w:szCs w:val="24"/>
        </w:rPr>
        <w:t>,</w:t>
      </w:r>
      <w:r w:rsidRPr="006E6FF5">
        <w:rPr>
          <w:sz w:val="24"/>
          <w:szCs w:val="24"/>
        </w:rPr>
        <w:t>2%) oraz Budownictwo (15</w:t>
      </w:r>
      <w:r>
        <w:rPr>
          <w:sz w:val="24"/>
          <w:szCs w:val="24"/>
        </w:rPr>
        <w:t>,</w:t>
      </w:r>
      <w:r w:rsidRPr="006E6FF5">
        <w:rPr>
          <w:sz w:val="24"/>
          <w:szCs w:val="24"/>
        </w:rPr>
        <w:t>4%).</w:t>
      </w:r>
    </w:p>
    <w:p w14:paraId="0A85C40D" w14:textId="2C326A21" w:rsidR="006E6FF5" w:rsidRPr="006E6FF5" w:rsidRDefault="006E6FF5" w:rsidP="006E6FF5">
      <w:pPr>
        <w:spacing w:before="120" w:after="0" w:line="264" w:lineRule="auto"/>
        <w:rPr>
          <w:sz w:val="24"/>
          <w:szCs w:val="24"/>
        </w:rPr>
      </w:pPr>
      <w:r w:rsidRPr="006E6FF5">
        <w:rPr>
          <w:sz w:val="24"/>
          <w:szCs w:val="24"/>
        </w:rPr>
        <w:t>Wskaźniki „Liczba nowych zarejestrowań w CEIDG na 100 mieszkańców” oraz „Liczba wyrejestrowań z CEIDG na 100 mieszkańców” obliczono w oparciu o łączną pulę zdarzeń w gminie w roku referencyjnym (2024: 16 nowych rejestracji i 12 wyrejestrowań) oraz liczbę mieszkańców każdej jednostki urbanistycznej (6 osiedli i 22 sołectwa, stan na 2024 r.). Z racji braku dostępnego administracyjnego rozbicia CEIDG według adresów przyjęto model estymacyjny, który uwzględniał zarówno wielkość populacji, jak i lokalne różnice w sytuacji dochodowej</w:t>
      </w:r>
      <w:r>
        <w:rPr>
          <w:rStyle w:val="Odwoanieprzypisudolnego"/>
          <w:sz w:val="24"/>
          <w:szCs w:val="24"/>
        </w:rPr>
        <w:footnoteReference w:id="25"/>
      </w:r>
      <w:r w:rsidRPr="006E6FF5">
        <w:rPr>
          <w:sz w:val="24"/>
          <w:szCs w:val="24"/>
        </w:rPr>
        <w:t xml:space="preserve">. </w:t>
      </w:r>
    </w:p>
    <w:p w14:paraId="5885E593" w14:textId="77777777" w:rsidR="00733D2A" w:rsidRPr="00733D2A" w:rsidRDefault="00733D2A" w:rsidP="00733D2A">
      <w:pPr>
        <w:spacing w:before="120" w:after="0" w:line="264" w:lineRule="auto"/>
        <w:rPr>
          <w:sz w:val="24"/>
          <w:szCs w:val="24"/>
        </w:rPr>
      </w:pPr>
      <w:r w:rsidRPr="00733D2A">
        <w:rPr>
          <w:sz w:val="24"/>
          <w:szCs w:val="24"/>
        </w:rPr>
        <w:t xml:space="preserve">Analiza wykazała wyraźną </w:t>
      </w:r>
      <w:r w:rsidRPr="00733D2A">
        <w:rPr>
          <w:b/>
          <w:bCs/>
          <w:sz w:val="24"/>
          <w:szCs w:val="24"/>
        </w:rPr>
        <w:t>polaryzację aktywności gospodarczej</w:t>
      </w:r>
      <w:r w:rsidRPr="00733D2A">
        <w:rPr>
          <w:sz w:val="24"/>
          <w:szCs w:val="24"/>
        </w:rPr>
        <w:t xml:space="preserve"> — </w:t>
      </w:r>
      <w:r w:rsidRPr="00733D2A">
        <w:rPr>
          <w:b/>
          <w:bCs/>
          <w:sz w:val="24"/>
          <w:szCs w:val="24"/>
        </w:rPr>
        <w:t>większość nowych rejestracji koncentruje się w ośrodku miejskim, a zwłaszcza w wybranych osiedlach (największa liczba nowych wpisów przypada na Osiedle nr 5 oraz Osiedle nr 2),</w:t>
      </w:r>
      <w:r w:rsidRPr="00733D2A">
        <w:rPr>
          <w:sz w:val="24"/>
          <w:szCs w:val="24"/>
        </w:rPr>
        <w:t xml:space="preserve"> podczas gdy znaczna część wykreśleń zarejestrowana jest również w ośrodku miejskim, co wskazuje na </w:t>
      </w:r>
      <w:r w:rsidRPr="00733D2A">
        <w:rPr>
          <w:b/>
          <w:bCs/>
          <w:sz w:val="24"/>
          <w:szCs w:val="24"/>
        </w:rPr>
        <w:t>wysoką dynamikę, ale i podwyższone ryzyko rotacji firm w centrum gminy</w:t>
      </w:r>
      <w:r w:rsidRPr="00733D2A">
        <w:rPr>
          <w:sz w:val="24"/>
          <w:szCs w:val="24"/>
        </w:rPr>
        <w:t xml:space="preserve">. W efekcie miasto pełni jednocześnie rolę głównego generatora przedsiębiorczości i obszaru największej niestabilności przedsiębiorstw — </w:t>
      </w:r>
      <w:r w:rsidRPr="00733D2A">
        <w:rPr>
          <w:sz w:val="24"/>
          <w:szCs w:val="24"/>
        </w:rPr>
        <w:lastRenderedPageBreak/>
        <w:t>zjawisko to ma istotne konsekwencje dla rynku pracy i dostępności usług lokalnych. Dominacja mikroprzedsiębiorstw w strukturze lokalnej gospodarki powoduje, że nawet niewielka liczba wykreśleń ma znaczący wpływ na zatrudnienie i dostępność usług, a wysoki udział nowych rejestracji niekoniecznie przekłada się od razu na trwały wzrost zatrudnienia.</w:t>
      </w:r>
    </w:p>
    <w:p w14:paraId="23C5176A" w14:textId="77777777" w:rsidR="00733D2A" w:rsidRPr="00733D2A" w:rsidRDefault="00733D2A" w:rsidP="00733D2A">
      <w:pPr>
        <w:spacing w:before="120" w:after="0" w:line="264" w:lineRule="auto"/>
        <w:rPr>
          <w:sz w:val="24"/>
          <w:szCs w:val="24"/>
        </w:rPr>
      </w:pPr>
      <w:r w:rsidRPr="00733D2A">
        <w:rPr>
          <w:sz w:val="24"/>
          <w:szCs w:val="24"/>
        </w:rPr>
        <w:t xml:space="preserve">Przestrzennie występują też </w:t>
      </w:r>
      <w:r w:rsidRPr="00733D2A">
        <w:rPr>
          <w:b/>
          <w:bCs/>
          <w:sz w:val="24"/>
          <w:szCs w:val="24"/>
        </w:rPr>
        <w:t>punktowe różnice</w:t>
      </w:r>
      <w:r w:rsidRPr="00733D2A">
        <w:rPr>
          <w:sz w:val="24"/>
          <w:szCs w:val="24"/>
        </w:rPr>
        <w:t>: część sołectw praktycznie nie odnotowała żadnych nowych wpisów ani wykreśleń w analizowanym roku, podczas gdy niektóre małe miejscowości (i niektóre osiedla) wykazują stosunkowo wysoką liczbę zdarzeń w przeliczeniu na populację — co wymaga odróżnienia między skalą zjawiska (liczbami bezwzględnymi) a intensywnością (wskaźnikami per 100 mieszkańców). Wysoki poziom wykreśleń w konkretnych osiedlach koreluje z innymi wskaźnikami ryzyka (wyższe bezrobocie, wysoki IMD Społeczne), co sugeruje występowanie kumulacji problemów społeczno-ekonomicznych.</w:t>
      </w:r>
    </w:p>
    <w:p w14:paraId="75443002" w14:textId="30F75B99" w:rsidR="00733D2A" w:rsidRPr="00733D2A" w:rsidRDefault="00733D2A" w:rsidP="00733D2A">
      <w:pPr>
        <w:spacing w:before="120" w:after="0" w:line="264" w:lineRule="auto"/>
        <w:rPr>
          <w:sz w:val="24"/>
          <w:szCs w:val="24"/>
        </w:rPr>
      </w:pPr>
      <w:r w:rsidRPr="00733D2A">
        <w:rPr>
          <w:sz w:val="24"/>
          <w:szCs w:val="24"/>
        </w:rPr>
        <w:t>Na podstawie powyższego rekomenduje się: (1) ukierunkowanie działań wspierających przedsiębiorczość w mieście — zwłaszcza programów inkubacyjnych i doradczych oraz instrumentów zwiększających trwałość start-upów i mikrofirm; (2) programy stabilizacyjne w obszarach o wysokiej rotacji (pakiety wsparcia dla firm w kryzysie, mikropożyczki, doradztwo restrukturyzacyjne); (3) rozwój infrastruktury biznesowej (uzbrojenie terenów, przestrzeń coworkingowa, łatwy dostęp do informacji i szkoleń) w miejscach o potencjale rozwojowym; (4) działania wspierające trwałość zatrudnienia — szkolenia, łączenie kursów z lokalnymi potrzebami pracodawców i programy subsydiowanego zatrudnienia.</w:t>
      </w:r>
      <w:r>
        <w:rPr>
          <w:sz w:val="24"/>
          <w:szCs w:val="24"/>
        </w:rPr>
        <w:t xml:space="preserve"> </w:t>
      </w:r>
    </w:p>
    <w:p w14:paraId="373F3E7B" w14:textId="539F3ECA" w:rsidR="006E6FF5" w:rsidRPr="006E6FF5" w:rsidRDefault="006E6FF5" w:rsidP="006E6FF5">
      <w:pPr>
        <w:spacing w:before="120" w:after="0" w:line="264" w:lineRule="auto"/>
        <w:rPr>
          <w:sz w:val="24"/>
          <w:szCs w:val="24"/>
        </w:rPr>
      </w:pPr>
      <w:r w:rsidRPr="006E6FF5">
        <w:rPr>
          <w:sz w:val="24"/>
          <w:szCs w:val="24"/>
        </w:rPr>
        <w:t xml:space="preserve">Dodatkowym źródłem wrażliwości gospodarczej jest struktura sektorowa i rozmiar przedsiębiorstw: gospodarka gminy jest zdominowana przez mikroprzedsiębiorstwa i branże handlu oraz budownictwa (33,2% i 15,4%), a przeciętne wynagrodzenie w gminie (7 557,15 PLN) jest niższe od średniej krajowej, przy jednoczesnym ujemnym saldzie dojazdów do pracy (−150), co razem wskazuje na ograniczoną odporność lokalnego rynku pracy na szoki. W konsekwencji priorytetem polityki gospodarczej powinno być wsparcie osiedli miejskich o wysokiej rotacji firm i sołectw o punktowych problemach demograficznych, poprzez programy stabilizacji </w:t>
      </w:r>
      <w:r w:rsidR="00563FE5" w:rsidRPr="006E6FF5">
        <w:rPr>
          <w:sz w:val="24"/>
          <w:szCs w:val="24"/>
        </w:rPr>
        <w:t>mikro firm</w:t>
      </w:r>
      <w:r w:rsidRPr="006E6FF5">
        <w:rPr>
          <w:sz w:val="24"/>
          <w:szCs w:val="24"/>
        </w:rPr>
        <w:t>, dywersyfikacji branżowej, aktywizacji zatrudnienia oraz poprawę dostępności infrastruktury i usług wspierających przedsiębiorczość.</w:t>
      </w:r>
    </w:p>
    <w:p w14:paraId="03AA4B5A" w14:textId="32DFF665" w:rsidR="00D15EDC" w:rsidRDefault="000913E2" w:rsidP="004B2CC1">
      <w:pPr>
        <w:shd w:val="clear" w:color="auto" w:fill="FFFFFF" w:themeFill="background1"/>
        <w:spacing w:before="120" w:after="0" w:line="264" w:lineRule="auto"/>
        <w:rPr>
          <w:sz w:val="24"/>
          <w:szCs w:val="24"/>
        </w:rPr>
      </w:pPr>
      <w:bookmarkStart w:id="119" w:name="_Hlk96777705"/>
      <w:r w:rsidRPr="000913E2">
        <w:rPr>
          <w:sz w:val="24"/>
          <w:szCs w:val="24"/>
        </w:rPr>
        <w:t xml:space="preserve">Podsumowując, </w:t>
      </w:r>
      <w:r>
        <w:rPr>
          <w:sz w:val="24"/>
          <w:szCs w:val="24"/>
        </w:rPr>
        <w:t>n</w:t>
      </w:r>
      <w:r w:rsidR="009871AE" w:rsidRPr="00D949D0">
        <w:rPr>
          <w:sz w:val="24"/>
          <w:szCs w:val="24"/>
        </w:rPr>
        <w:t>a potrzeby analizy problemów gospodarczych wykorzystano poniższe wskaźniki:</w:t>
      </w:r>
      <w:bookmarkEnd w:id="119"/>
    </w:p>
    <w:p w14:paraId="1358031B" w14:textId="28BE3BB4" w:rsidR="00D15EDC" w:rsidRPr="006E6FF5" w:rsidRDefault="006E6FF5" w:rsidP="006E6FF5">
      <w:pPr>
        <w:pStyle w:val="Akapitzlist"/>
        <w:numPr>
          <w:ilvl w:val="0"/>
          <w:numId w:val="20"/>
        </w:numPr>
        <w:shd w:val="clear" w:color="auto" w:fill="F2F2F2"/>
        <w:spacing w:before="120" w:after="0" w:line="264" w:lineRule="auto"/>
        <w:rPr>
          <w:sz w:val="24"/>
          <w:szCs w:val="24"/>
        </w:rPr>
      </w:pPr>
      <w:r w:rsidRPr="006E6FF5">
        <w:rPr>
          <w:sz w:val="24"/>
          <w:szCs w:val="24"/>
        </w:rPr>
        <w:t>Liczba nowych</w:t>
      </w:r>
      <w:r>
        <w:rPr>
          <w:sz w:val="24"/>
          <w:szCs w:val="24"/>
        </w:rPr>
        <w:t xml:space="preserve"> </w:t>
      </w:r>
      <w:r w:rsidRPr="006E6FF5">
        <w:rPr>
          <w:sz w:val="24"/>
          <w:szCs w:val="24"/>
        </w:rPr>
        <w:t xml:space="preserve">zarejestrowań w CEIDG na 100 osób </w:t>
      </w:r>
      <w:r w:rsidR="00D15EDC" w:rsidRPr="006E6FF5">
        <w:rPr>
          <w:sz w:val="24"/>
          <w:szCs w:val="24"/>
        </w:rPr>
        <w:t>–</w:t>
      </w:r>
      <w:r w:rsidR="00733D2A">
        <w:rPr>
          <w:sz w:val="24"/>
          <w:szCs w:val="24"/>
        </w:rPr>
        <w:t xml:space="preserve"> stymulanta</w:t>
      </w:r>
    </w:p>
    <w:p w14:paraId="72C2CE41" w14:textId="0AE48146" w:rsidR="00D15EDC" w:rsidRDefault="00D15EDC" w:rsidP="00D15EDC">
      <w:pPr>
        <w:pStyle w:val="Akapitzlist"/>
        <w:numPr>
          <w:ilvl w:val="0"/>
          <w:numId w:val="20"/>
        </w:numPr>
        <w:shd w:val="clear" w:color="auto" w:fill="F2F2F2"/>
        <w:spacing w:before="120" w:after="0" w:line="264" w:lineRule="auto"/>
        <w:rPr>
          <w:sz w:val="24"/>
          <w:szCs w:val="24"/>
        </w:rPr>
      </w:pPr>
      <w:r w:rsidRPr="00D15EDC">
        <w:rPr>
          <w:sz w:val="24"/>
          <w:szCs w:val="24"/>
        </w:rPr>
        <w:t>Liczba wyrejestrowań z CEIDG na 100 osó</w:t>
      </w:r>
      <w:r>
        <w:rPr>
          <w:sz w:val="24"/>
          <w:szCs w:val="24"/>
        </w:rPr>
        <w:t xml:space="preserve">b – destymulanta </w:t>
      </w:r>
    </w:p>
    <w:p w14:paraId="240F1182" w14:textId="60630FE4" w:rsidR="009B4269" w:rsidRPr="00D15EDC" w:rsidRDefault="009871AE" w:rsidP="00D15EDC">
      <w:pPr>
        <w:shd w:val="clear" w:color="auto" w:fill="FFFFFF" w:themeFill="background1"/>
        <w:spacing w:before="120" w:after="0" w:line="264" w:lineRule="auto"/>
        <w:rPr>
          <w:sz w:val="24"/>
          <w:szCs w:val="24"/>
        </w:rPr>
      </w:pPr>
      <w:r w:rsidRPr="00D15EDC">
        <w:rPr>
          <w:sz w:val="24"/>
          <w:szCs w:val="24"/>
        </w:rPr>
        <w:t xml:space="preserve">Poniżej zaprezentowano tabelaryczne zestawienie wyników analizy </w:t>
      </w:r>
      <w:r w:rsidR="004B2CC1">
        <w:rPr>
          <w:sz w:val="24"/>
          <w:szCs w:val="24"/>
        </w:rPr>
        <w:t xml:space="preserve">wskaźników przyjętych do oceny </w:t>
      </w:r>
      <w:r w:rsidRPr="00D15EDC">
        <w:rPr>
          <w:sz w:val="24"/>
          <w:szCs w:val="24"/>
        </w:rPr>
        <w:t>uwarunkowań sfery gospodarczej.</w:t>
      </w:r>
    </w:p>
    <w:p w14:paraId="743640B4" w14:textId="7AD40CD8" w:rsidR="00BF4FFC" w:rsidRDefault="003000AC" w:rsidP="00B80592">
      <w:pPr>
        <w:pStyle w:val="Legenda"/>
        <w:rPr>
          <w:rStyle w:val="Tytuksiki"/>
          <w:color w:val="auto"/>
        </w:rPr>
      </w:pPr>
      <w:bookmarkStart w:id="120" w:name="_Toc67141039"/>
      <w:bookmarkStart w:id="121" w:name="_Toc67307021"/>
      <w:bookmarkStart w:id="122" w:name="_Toc97300845"/>
      <w:bookmarkStart w:id="123" w:name="_Toc219274341"/>
      <w:r w:rsidRPr="00B80592">
        <w:rPr>
          <w:rStyle w:val="Tytuksiki"/>
          <w:color w:val="auto"/>
        </w:rPr>
        <w:t xml:space="preserve">Tabela </w:t>
      </w:r>
      <w:r w:rsidRPr="00B80592">
        <w:rPr>
          <w:rStyle w:val="Tytuksiki"/>
          <w:color w:val="auto"/>
        </w:rPr>
        <w:fldChar w:fldCharType="begin"/>
      </w:r>
      <w:r w:rsidRPr="00B80592">
        <w:rPr>
          <w:rStyle w:val="Tytuksiki"/>
          <w:color w:val="auto"/>
        </w:rPr>
        <w:instrText xml:space="preserve"> SEQ Tabela \* ARABIC </w:instrText>
      </w:r>
      <w:r w:rsidRPr="00B80592">
        <w:rPr>
          <w:rStyle w:val="Tytuksiki"/>
          <w:color w:val="auto"/>
        </w:rPr>
        <w:fldChar w:fldCharType="separate"/>
      </w:r>
      <w:r w:rsidR="001328FC">
        <w:rPr>
          <w:rStyle w:val="Tytuksiki"/>
          <w:noProof/>
          <w:color w:val="auto"/>
        </w:rPr>
        <w:t>5</w:t>
      </w:r>
      <w:r w:rsidRPr="00B80592">
        <w:rPr>
          <w:rStyle w:val="Tytuksiki"/>
          <w:color w:val="auto"/>
        </w:rPr>
        <w:fldChar w:fldCharType="end"/>
      </w:r>
      <w:r w:rsidRPr="00B80592">
        <w:rPr>
          <w:rStyle w:val="Tytuksiki"/>
          <w:color w:val="auto"/>
        </w:rPr>
        <w:t xml:space="preserve">. </w:t>
      </w:r>
      <w:r w:rsidR="009871AE" w:rsidRPr="00B80592">
        <w:rPr>
          <w:rStyle w:val="Tytuksiki"/>
          <w:color w:val="auto"/>
        </w:rPr>
        <w:t xml:space="preserve">Analiza uwarunkowań gospodarczych w </w:t>
      </w:r>
      <w:bookmarkEnd w:id="120"/>
      <w:bookmarkEnd w:id="121"/>
      <w:r w:rsidR="009871AE" w:rsidRPr="00B80592">
        <w:rPr>
          <w:rStyle w:val="Tytuksiki"/>
          <w:color w:val="auto"/>
        </w:rPr>
        <w:t xml:space="preserve">Gminie </w:t>
      </w:r>
      <w:r w:rsidR="006E6FF5">
        <w:rPr>
          <w:rStyle w:val="Tytuksiki"/>
          <w:color w:val="auto"/>
        </w:rPr>
        <w:t>Krośniewice</w:t>
      </w:r>
      <w:r w:rsidR="00B80592" w:rsidRPr="00B80592">
        <w:rPr>
          <w:rStyle w:val="Tytuksiki"/>
          <w:color w:val="auto"/>
        </w:rPr>
        <w:t xml:space="preserve"> </w:t>
      </w:r>
      <w:r w:rsidR="009871AE" w:rsidRPr="00B80592">
        <w:rPr>
          <w:rStyle w:val="Tytuksiki"/>
          <w:color w:val="auto"/>
        </w:rPr>
        <w:t>na podstawie wskaźników specyficznych dla sfery gospodarczej</w:t>
      </w:r>
      <w:bookmarkEnd w:id="122"/>
      <w:bookmarkEnd w:id="123"/>
      <w:r w:rsidR="009871AE" w:rsidRPr="00B80592">
        <w:rPr>
          <w:rStyle w:val="Tytuksiki"/>
          <w:color w:val="auto"/>
        </w:rPr>
        <w:t xml:space="preserve"> </w:t>
      </w:r>
    </w:p>
    <w:tbl>
      <w:tblPr>
        <w:tblW w:w="9266" w:type="dxa"/>
        <w:tblCellMar>
          <w:left w:w="70" w:type="dxa"/>
          <w:right w:w="70" w:type="dxa"/>
        </w:tblCellMar>
        <w:tblLook w:val="04A0" w:firstRow="1" w:lastRow="0" w:firstColumn="1" w:lastColumn="0" w:noHBand="0" w:noVBand="1"/>
      </w:tblPr>
      <w:tblGrid>
        <w:gridCol w:w="4106"/>
        <w:gridCol w:w="1680"/>
        <w:gridCol w:w="1740"/>
        <w:gridCol w:w="1740"/>
      </w:tblGrid>
      <w:tr w:rsidR="00EC2434" w:rsidRPr="00EC2434" w14:paraId="53BD3A0C" w14:textId="77777777" w:rsidTr="00EC2434">
        <w:trPr>
          <w:trHeight w:val="1660"/>
        </w:trPr>
        <w:tc>
          <w:tcPr>
            <w:tcW w:w="4106" w:type="dxa"/>
            <w:tcBorders>
              <w:top w:val="single" w:sz="4" w:space="0" w:color="auto"/>
              <w:left w:val="single" w:sz="4" w:space="0" w:color="auto"/>
              <w:bottom w:val="nil"/>
              <w:right w:val="single" w:sz="4" w:space="0" w:color="auto"/>
            </w:tcBorders>
            <w:shd w:val="clear" w:color="000080" w:fill="4472C4"/>
            <w:noWrap/>
            <w:vAlign w:val="center"/>
            <w:hideMark/>
          </w:tcPr>
          <w:p w14:paraId="3C07A53D" w14:textId="4FCD1357" w:rsidR="00EC2434" w:rsidRPr="00EC2434" w:rsidRDefault="00E20BBA" w:rsidP="00EC2434">
            <w:pPr>
              <w:suppressAutoHyphens w:val="0"/>
              <w:autoSpaceDN/>
              <w:spacing w:after="0"/>
              <w:jc w:val="center"/>
              <w:textAlignment w:val="auto"/>
              <w:rPr>
                <w:rFonts w:eastAsia="Times New Roman" w:cs="Calibri"/>
                <w:color w:val="FFFFFF"/>
                <w:lang w:eastAsia="pl-PL"/>
              </w:rPr>
            </w:pPr>
            <w:r w:rsidRPr="00E20BBA">
              <w:rPr>
                <w:rFonts w:eastAsia="Times New Roman" w:cs="Calibri"/>
                <w:color w:val="FFFFFF"/>
                <w:lang w:eastAsia="pl-PL"/>
              </w:rPr>
              <w:t>Jednostka urbanistyczna</w:t>
            </w:r>
          </w:p>
        </w:tc>
        <w:tc>
          <w:tcPr>
            <w:tcW w:w="1680" w:type="dxa"/>
            <w:tcBorders>
              <w:top w:val="single" w:sz="4" w:space="0" w:color="auto"/>
              <w:left w:val="nil"/>
              <w:bottom w:val="nil"/>
              <w:right w:val="single" w:sz="4" w:space="0" w:color="auto"/>
            </w:tcBorders>
            <w:shd w:val="clear" w:color="000080" w:fill="4472C4"/>
            <w:vAlign w:val="center"/>
            <w:hideMark/>
          </w:tcPr>
          <w:p w14:paraId="0C5AF047" w14:textId="77777777" w:rsidR="00EC2434" w:rsidRPr="00EC2434" w:rsidRDefault="00EC2434" w:rsidP="00EC2434">
            <w:pPr>
              <w:suppressAutoHyphens w:val="0"/>
              <w:autoSpaceDN/>
              <w:spacing w:after="0"/>
              <w:jc w:val="center"/>
              <w:textAlignment w:val="auto"/>
              <w:rPr>
                <w:rFonts w:eastAsia="Times New Roman" w:cs="Calibri"/>
                <w:color w:val="FFFFFF"/>
                <w:lang w:eastAsia="pl-PL"/>
              </w:rPr>
            </w:pPr>
            <w:r w:rsidRPr="00EC2434">
              <w:rPr>
                <w:rFonts w:eastAsia="Times New Roman" w:cs="Calibri"/>
                <w:color w:val="FFFFFF"/>
                <w:lang w:eastAsia="pl-PL"/>
              </w:rPr>
              <w:t>9. Liczba nowych</w:t>
            </w:r>
            <w:r w:rsidRPr="00EC2434">
              <w:rPr>
                <w:rFonts w:eastAsia="Times New Roman" w:cs="Calibri"/>
                <w:color w:val="FFFFFF"/>
                <w:lang w:eastAsia="pl-PL"/>
              </w:rPr>
              <w:br/>
              <w:t xml:space="preserve">zarejestrowań w CEIDG na 100 osób </w:t>
            </w:r>
          </w:p>
        </w:tc>
        <w:tc>
          <w:tcPr>
            <w:tcW w:w="1740" w:type="dxa"/>
            <w:tcBorders>
              <w:top w:val="single" w:sz="4" w:space="0" w:color="auto"/>
              <w:left w:val="nil"/>
              <w:bottom w:val="nil"/>
              <w:right w:val="single" w:sz="4" w:space="0" w:color="auto"/>
            </w:tcBorders>
            <w:shd w:val="clear" w:color="000080" w:fill="4472C4"/>
            <w:vAlign w:val="center"/>
            <w:hideMark/>
          </w:tcPr>
          <w:p w14:paraId="17C0827A" w14:textId="77777777" w:rsidR="00EC2434" w:rsidRPr="00EC2434" w:rsidRDefault="00EC2434" w:rsidP="00EC2434">
            <w:pPr>
              <w:suppressAutoHyphens w:val="0"/>
              <w:autoSpaceDN/>
              <w:spacing w:after="0"/>
              <w:jc w:val="center"/>
              <w:textAlignment w:val="auto"/>
              <w:rPr>
                <w:rFonts w:eastAsia="Times New Roman" w:cs="Calibri"/>
                <w:color w:val="FFFFFF"/>
                <w:lang w:eastAsia="pl-PL"/>
              </w:rPr>
            </w:pPr>
            <w:r w:rsidRPr="00EC2434">
              <w:rPr>
                <w:rFonts w:eastAsia="Times New Roman" w:cs="Calibri"/>
                <w:color w:val="FFFFFF"/>
                <w:lang w:eastAsia="pl-PL"/>
              </w:rPr>
              <w:t>10. Liczba wyrejestrowań z</w:t>
            </w:r>
            <w:r w:rsidRPr="00EC2434">
              <w:rPr>
                <w:rFonts w:eastAsia="Times New Roman" w:cs="Calibri"/>
                <w:color w:val="FFFFFF"/>
                <w:lang w:eastAsia="pl-PL"/>
              </w:rPr>
              <w:br/>
              <w:t xml:space="preserve">CEIDG na 100 osób </w:t>
            </w:r>
          </w:p>
        </w:tc>
        <w:tc>
          <w:tcPr>
            <w:tcW w:w="1740" w:type="dxa"/>
            <w:tcBorders>
              <w:top w:val="single" w:sz="4" w:space="0" w:color="auto"/>
              <w:left w:val="nil"/>
              <w:bottom w:val="nil"/>
              <w:right w:val="single" w:sz="4" w:space="0" w:color="auto"/>
            </w:tcBorders>
            <w:shd w:val="clear" w:color="000080" w:fill="4472C4"/>
            <w:vAlign w:val="center"/>
            <w:hideMark/>
          </w:tcPr>
          <w:p w14:paraId="4F5A3C04" w14:textId="77777777" w:rsidR="00EC2434" w:rsidRPr="00EC2434" w:rsidRDefault="00EC2434" w:rsidP="00EC2434">
            <w:pPr>
              <w:suppressAutoHyphens w:val="0"/>
              <w:autoSpaceDN/>
              <w:spacing w:after="0"/>
              <w:jc w:val="center"/>
              <w:textAlignment w:val="auto"/>
              <w:rPr>
                <w:rFonts w:eastAsia="Times New Roman" w:cs="Calibri"/>
                <w:b/>
                <w:bCs/>
                <w:color w:val="FFFFFF"/>
                <w:lang w:eastAsia="pl-PL"/>
              </w:rPr>
            </w:pPr>
            <w:r w:rsidRPr="00EC2434">
              <w:rPr>
                <w:rFonts w:eastAsia="Times New Roman" w:cs="Calibri"/>
                <w:b/>
                <w:bCs/>
                <w:color w:val="FFFFFF"/>
                <w:lang w:eastAsia="pl-PL"/>
              </w:rPr>
              <w:t xml:space="preserve">IMD Gospodarcze </w:t>
            </w:r>
          </w:p>
        </w:tc>
      </w:tr>
      <w:tr w:rsidR="00EC2434" w:rsidRPr="00EC2434" w14:paraId="220E55FD" w14:textId="77777777" w:rsidTr="00AD2D77">
        <w:trPr>
          <w:trHeight w:val="290"/>
        </w:trPr>
        <w:tc>
          <w:tcPr>
            <w:tcW w:w="4106"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1D68BAF9"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Osiedle nr 1</w:t>
            </w:r>
          </w:p>
        </w:tc>
        <w:tc>
          <w:tcPr>
            <w:tcW w:w="1680" w:type="dxa"/>
            <w:tcBorders>
              <w:top w:val="single" w:sz="4" w:space="0" w:color="auto"/>
              <w:left w:val="nil"/>
              <w:bottom w:val="single" w:sz="4" w:space="0" w:color="auto"/>
              <w:right w:val="single" w:sz="4" w:space="0" w:color="auto"/>
            </w:tcBorders>
            <w:shd w:val="clear" w:color="000000" w:fill="FFE699"/>
            <w:vAlign w:val="center"/>
            <w:hideMark/>
          </w:tcPr>
          <w:p w14:paraId="55D9A96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0,18</w:t>
            </w:r>
          </w:p>
        </w:tc>
        <w:tc>
          <w:tcPr>
            <w:tcW w:w="1740" w:type="dxa"/>
            <w:tcBorders>
              <w:top w:val="single" w:sz="4" w:space="0" w:color="auto"/>
              <w:left w:val="nil"/>
              <w:bottom w:val="single" w:sz="4" w:space="0" w:color="auto"/>
              <w:right w:val="single" w:sz="4" w:space="0" w:color="auto"/>
            </w:tcBorders>
            <w:shd w:val="clear" w:color="000000" w:fill="F8CBAD"/>
            <w:vAlign w:val="center"/>
            <w:hideMark/>
          </w:tcPr>
          <w:p w14:paraId="1A4521E0"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0,35</w:t>
            </w:r>
          </w:p>
        </w:tc>
        <w:tc>
          <w:tcPr>
            <w:tcW w:w="1740" w:type="dxa"/>
            <w:tcBorders>
              <w:top w:val="single" w:sz="4" w:space="0" w:color="auto"/>
              <w:left w:val="nil"/>
              <w:bottom w:val="single" w:sz="4" w:space="0" w:color="auto"/>
              <w:right w:val="single" w:sz="4" w:space="0" w:color="auto"/>
            </w:tcBorders>
            <w:shd w:val="clear" w:color="F2F2F2" w:fill="F8CBAD"/>
            <w:noWrap/>
            <w:vAlign w:val="bottom"/>
            <w:hideMark/>
          </w:tcPr>
          <w:p w14:paraId="69314419"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5</w:t>
            </w:r>
          </w:p>
        </w:tc>
      </w:tr>
      <w:tr w:rsidR="00EC2434" w:rsidRPr="00EC2434" w14:paraId="51D41B2B" w14:textId="77777777" w:rsidTr="00AD2D77">
        <w:trPr>
          <w:trHeight w:val="290"/>
        </w:trPr>
        <w:tc>
          <w:tcPr>
            <w:tcW w:w="4106"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1B059BC3"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lastRenderedPageBreak/>
              <w:t>Osiedle nr 2</w:t>
            </w:r>
          </w:p>
        </w:tc>
        <w:tc>
          <w:tcPr>
            <w:tcW w:w="168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1353AF1"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0,13</w:t>
            </w:r>
          </w:p>
        </w:tc>
        <w:tc>
          <w:tcPr>
            <w:tcW w:w="174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322304B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0,33</w:t>
            </w:r>
          </w:p>
        </w:tc>
        <w:tc>
          <w:tcPr>
            <w:tcW w:w="1740" w:type="dxa"/>
            <w:tcBorders>
              <w:top w:val="single" w:sz="4" w:space="0" w:color="auto"/>
              <w:left w:val="single" w:sz="4" w:space="0" w:color="auto"/>
              <w:bottom w:val="single" w:sz="4" w:space="0" w:color="auto"/>
              <w:right w:val="single" w:sz="4" w:space="0" w:color="auto"/>
            </w:tcBorders>
            <w:shd w:val="clear" w:color="F2F2F2" w:fill="F8CBAD"/>
            <w:noWrap/>
            <w:vAlign w:val="bottom"/>
            <w:hideMark/>
          </w:tcPr>
          <w:p w14:paraId="0479DB06"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7</w:t>
            </w:r>
          </w:p>
        </w:tc>
      </w:tr>
      <w:tr w:rsidR="00EC2434" w:rsidRPr="00EC2434" w14:paraId="4EE9ED60" w14:textId="77777777" w:rsidTr="00AD2D77">
        <w:trPr>
          <w:trHeight w:val="290"/>
        </w:trPr>
        <w:tc>
          <w:tcPr>
            <w:tcW w:w="4106"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51231DFB"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Osiedle nr 3 im. Gen. W. Andersa</w:t>
            </w:r>
          </w:p>
        </w:tc>
        <w:tc>
          <w:tcPr>
            <w:tcW w:w="1680"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4B420C76"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0,32</w:t>
            </w:r>
          </w:p>
        </w:tc>
        <w:tc>
          <w:tcPr>
            <w:tcW w:w="1740" w:type="dxa"/>
            <w:tcBorders>
              <w:top w:val="single" w:sz="4" w:space="0" w:color="auto"/>
              <w:left w:val="nil"/>
              <w:bottom w:val="single" w:sz="4" w:space="0" w:color="auto"/>
              <w:right w:val="single" w:sz="4" w:space="0" w:color="auto"/>
            </w:tcBorders>
            <w:shd w:val="clear" w:color="000000" w:fill="F8CBAD"/>
            <w:vAlign w:val="center"/>
            <w:hideMark/>
          </w:tcPr>
          <w:p w14:paraId="3FE4E262"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0,32</w:t>
            </w:r>
          </w:p>
        </w:tc>
        <w:tc>
          <w:tcPr>
            <w:tcW w:w="1740"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4ACDA96F" w14:textId="4F2C8C09" w:rsidR="00EC2434" w:rsidRPr="00EC2434" w:rsidRDefault="000F2D6B" w:rsidP="00EC2434">
            <w:pPr>
              <w:suppressAutoHyphens w:val="0"/>
              <w:autoSpaceDN/>
              <w:spacing w:after="0"/>
              <w:jc w:val="right"/>
              <w:textAlignment w:val="auto"/>
              <w:rPr>
                <w:rFonts w:eastAsia="Times New Roman" w:cs="Calibri"/>
                <w:color w:val="000000"/>
                <w:lang w:eastAsia="pl-PL"/>
              </w:rPr>
            </w:pPr>
            <w:r>
              <w:rPr>
                <w:rFonts w:eastAsia="Times New Roman" w:cs="Calibri"/>
                <w:color w:val="000000"/>
                <w:lang w:eastAsia="pl-PL"/>
              </w:rPr>
              <w:t>4</w:t>
            </w:r>
          </w:p>
        </w:tc>
      </w:tr>
      <w:tr w:rsidR="00EC2434" w:rsidRPr="00EC2434" w14:paraId="7AE7BA81"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7F4464D9"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Osiedle nr 4</w:t>
            </w:r>
          </w:p>
        </w:tc>
        <w:tc>
          <w:tcPr>
            <w:tcW w:w="1680" w:type="dxa"/>
            <w:tcBorders>
              <w:top w:val="nil"/>
              <w:left w:val="nil"/>
              <w:bottom w:val="single" w:sz="4" w:space="0" w:color="auto"/>
              <w:right w:val="single" w:sz="4" w:space="0" w:color="auto"/>
            </w:tcBorders>
            <w:shd w:val="clear" w:color="000000" w:fill="C6E0B4"/>
            <w:vAlign w:val="center"/>
            <w:hideMark/>
          </w:tcPr>
          <w:p w14:paraId="7DDDC506"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0,51</w:t>
            </w:r>
          </w:p>
        </w:tc>
        <w:tc>
          <w:tcPr>
            <w:tcW w:w="1740" w:type="dxa"/>
            <w:tcBorders>
              <w:top w:val="nil"/>
              <w:left w:val="nil"/>
              <w:bottom w:val="single" w:sz="4" w:space="0" w:color="auto"/>
              <w:right w:val="single" w:sz="4" w:space="0" w:color="auto"/>
            </w:tcBorders>
            <w:shd w:val="clear" w:color="000000" w:fill="C6E0B4"/>
            <w:vAlign w:val="center"/>
            <w:hideMark/>
          </w:tcPr>
          <w:p w14:paraId="3FDC8279"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C6E0B4"/>
            <w:noWrap/>
            <w:vAlign w:val="bottom"/>
            <w:hideMark/>
          </w:tcPr>
          <w:p w14:paraId="09862936"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r>
      <w:tr w:rsidR="00EC2434" w:rsidRPr="00EC2434" w14:paraId="664E3F6B"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26EAE86B"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Osiedle nr 5</w:t>
            </w:r>
          </w:p>
        </w:tc>
        <w:tc>
          <w:tcPr>
            <w:tcW w:w="1680" w:type="dxa"/>
            <w:tcBorders>
              <w:top w:val="nil"/>
              <w:left w:val="nil"/>
              <w:bottom w:val="single" w:sz="4" w:space="0" w:color="auto"/>
              <w:right w:val="single" w:sz="4" w:space="0" w:color="auto"/>
            </w:tcBorders>
            <w:shd w:val="clear" w:color="000000" w:fill="C6E0B4"/>
            <w:vAlign w:val="center"/>
            <w:hideMark/>
          </w:tcPr>
          <w:p w14:paraId="1CE30699"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0,66</w:t>
            </w:r>
          </w:p>
        </w:tc>
        <w:tc>
          <w:tcPr>
            <w:tcW w:w="1740" w:type="dxa"/>
            <w:tcBorders>
              <w:top w:val="nil"/>
              <w:left w:val="nil"/>
              <w:bottom w:val="single" w:sz="4" w:space="0" w:color="auto"/>
              <w:right w:val="single" w:sz="4" w:space="0" w:color="auto"/>
            </w:tcBorders>
            <w:shd w:val="clear" w:color="000000" w:fill="C6E0B4"/>
            <w:vAlign w:val="center"/>
            <w:hideMark/>
          </w:tcPr>
          <w:p w14:paraId="4C80D820"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0,11</w:t>
            </w:r>
          </w:p>
        </w:tc>
        <w:tc>
          <w:tcPr>
            <w:tcW w:w="1740" w:type="dxa"/>
            <w:tcBorders>
              <w:top w:val="nil"/>
              <w:left w:val="nil"/>
              <w:bottom w:val="single" w:sz="4" w:space="0" w:color="auto"/>
              <w:right w:val="single" w:sz="4" w:space="0" w:color="auto"/>
            </w:tcBorders>
            <w:shd w:val="clear" w:color="F2F2F2" w:fill="C6E0B4"/>
            <w:noWrap/>
            <w:vAlign w:val="bottom"/>
            <w:hideMark/>
          </w:tcPr>
          <w:p w14:paraId="05F0147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r>
      <w:tr w:rsidR="00EC2434" w:rsidRPr="00EC2434" w14:paraId="494F8655" w14:textId="77777777" w:rsidTr="000F2D6B">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62E3E76D"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Osiedle nr 6</w:t>
            </w:r>
          </w:p>
        </w:tc>
        <w:tc>
          <w:tcPr>
            <w:tcW w:w="1680" w:type="dxa"/>
            <w:tcBorders>
              <w:top w:val="nil"/>
              <w:left w:val="nil"/>
              <w:bottom w:val="single" w:sz="4" w:space="0" w:color="auto"/>
              <w:right w:val="single" w:sz="4" w:space="0" w:color="auto"/>
            </w:tcBorders>
            <w:shd w:val="clear" w:color="000000" w:fill="C6E0B4"/>
            <w:vAlign w:val="center"/>
            <w:hideMark/>
          </w:tcPr>
          <w:p w14:paraId="5C322E97"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0,32</w:t>
            </w:r>
          </w:p>
        </w:tc>
        <w:tc>
          <w:tcPr>
            <w:tcW w:w="1740" w:type="dxa"/>
            <w:tcBorders>
              <w:top w:val="nil"/>
              <w:left w:val="nil"/>
              <w:bottom w:val="single" w:sz="4" w:space="0" w:color="auto"/>
              <w:right w:val="single" w:sz="4" w:space="0" w:color="auto"/>
            </w:tcBorders>
            <w:shd w:val="clear" w:color="auto" w:fill="FFE599" w:themeFill="accent4" w:themeFillTint="66"/>
            <w:vAlign w:val="center"/>
            <w:hideMark/>
          </w:tcPr>
          <w:p w14:paraId="0C324993" w14:textId="2F801C2C"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w:t>
            </w:r>
            <w:r w:rsidR="000F2D6B">
              <w:rPr>
                <w:rFonts w:eastAsia="Times New Roman" w:cs="Calibri"/>
                <w:color w:val="000000"/>
                <w:lang w:eastAsia="pl-PL"/>
              </w:rPr>
              <w:t>14</w:t>
            </w:r>
          </w:p>
        </w:tc>
        <w:tc>
          <w:tcPr>
            <w:tcW w:w="1740" w:type="dxa"/>
            <w:tcBorders>
              <w:top w:val="nil"/>
              <w:left w:val="nil"/>
              <w:bottom w:val="single" w:sz="4" w:space="0" w:color="auto"/>
              <w:right w:val="single" w:sz="4" w:space="0" w:color="auto"/>
            </w:tcBorders>
            <w:shd w:val="clear" w:color="auto" w:fill="FFE599" w:themeFill="accent4" w:themeFillTint="66"/>
            <w:noWrap/>
            <w:vAlign w:val="bottom"/>
            <w:hideMark/>
          </w:tcPr>
          <w:p w14:paraId="003D4367" w14:textId="1492C3E0" w:rsidR="00EC2434" w:rsidRPr="00EC2434" w:rsidRDefault="000F2D6B" w:rsidP="00EC2434">
            <w:pPr>
              <w:suppressAutoHyphens w:val="0"/>
              <w:autoSpaceDN/>
              <w:spacing w:after="0"/>
              <w:jc w:val="right"/>
              <w:textAlignment w:val="auto"/>
              <w:rPr>
                <w:rFonts w:eastAsia="Times New Roman" w:cs="Calibri"/>
                <w:color w:val="000000"/>
                <w:lang w:eastAsia="pl-PL"/>
              </w:rPr>
            </w:pPr>
            <w:r>
              <w:rPr>
                <w:rFonts w:eastAsia="Times New Roman" w:cs="Calibri"/>
                <w:color w:val="000000"/>
                <w:lang w:eastAsia="pl-PL"/>
              </w:rPr>
              <w:t>3</w:t>
            </w:r>
          </w:p>
        </w:tc>
      </w:tr>
      <w:tr w:rsidR="00EC2434" w:rsidRPr="00EC2434" w14:paraId="03AB4327"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0AE14266"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Bielice</w:t>
            </w:r>
          </w:p>
        </w:tc>
        <w:tc>
          <w:tcPr>
            <w:tcW w:w="1680" w:type="dxa"/>
            <w:tcBorders>
              <w:top w:val="nil"/>
              <w:left w:val="nil"/>
              <w:bottom w:val="single" w:sz="4" w:space="0" w:color="auto"/>
              <w:right w:val="single" w:sz="4" w:space="0" w:color="auto"/>
            </w:tcBorders>
            <w:shd w:val="clear" w:color="000000" w:fill="F8CBAD"/>
            <w:vAlign w:val="center"/>
            <w:hideMark/>
          </w:tcPr>
          <w:p w14:paraId="7EBD0AE8"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35586DE7"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1C7D0811"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190A5048"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5C3BF3E0"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Franki</w:t>
            </w:r>
          </w:p>
        </w:tc>
        <w:tc>
          <w:tcPr>
            <w:tcW w:w="1680" w:type="dxa"/>
            <w:tcBorders>
              <w:top w:val="nil"/>
              <w:left w:val="nil"/>
              <w:bottom w:val="single" w:sz="4" w:space="0" w:color="auto"/>
              <w:right w:val="single" w:sz="4" w:space="0" w:color="auto"/>
            </w:tcBorders>
            <w:shd w:val="clear" w:color="000000" w:fill="F8CBAD"/>
            <w:vAlign w:val="center"/>
            <w:hideMark/>
          </w:tcPr>
          <w:p w14:paraId="0307C7D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5C8B7447"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6CF89F76"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45E0E8DD"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3BB6888A"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Jankowice</w:t>
            </w:r>
          </w:p>
        </w:tc>
        <w:tc>
          <w:tcPr>
            <w:tcW w:w="1680" w:type="dxa"/>
            <w:tcBorders>
              <w:top w:val="nil"/>
              <w:left w:val="nil"/>
              <w:bottom w:val="single" w:sz="4" w:space="0" w:color="auto"/>
              <w:right w:val="single" w:sz="4" w:space="0" w:color="auto"/>
            </w:tcBorders>
            <w:shd w:val="clear" w:color="000000" w:fill="C6E0B4"/>
            <w:vAlign w:val="center"/>
            <w:hideMark/>
          </w:tcPr>
          <w:p w14:paraId="64A0DA51"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0,29</w:t>
            </w:r>
          </w:p>
        </w:tc>
        <w:tc>
          <w:tcPr>
            <w:tcW w:w="1740" w:type="dxa"/>
            <w:tcBorders>
              <w:top w:val="nil"/>
              <w:left w:val="nil"/>
              <w:bottom w:val="single" w:sz="4" w:space="0" w:color="auto"/>
              <w:right w:val="single" w:sz="4" w:space="0" w:color="auto"/>
            </w:tcBorders>
            <w:shd w:val="clear" w:color="000000" w:fill="C6E0B4"/>
            <w:vAlign w:val="center"/>
            <w:hideMark/>
          </w:tcPr>
          <w:p w14:paraId="09E43A82"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C6E0B4"/>
            <w:noWrap/>
            <w:vAlign w:val="bottom"/>
            <w:hideMark/>
          </w:tcPr>
          <w:p w14:paraId="13A541FB"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r>
      <w:tr w:rsidR="00EC2434" w:rsidRPr="00EC2434" w14:paraId="156D5C74"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60524657"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Kajew</w:t>
            </w:r>
          </w:p>
        </w:tc>
        <w:tc>
          <w:tcPr>
            <w:tcW w:w="1680" w:type="dxa"/>
            <w:tcBorders>
              <w:top w:val="nil"/>
              <w:left w:val="nil"/>
              <w:bottom w:val="single" w:sz="4" w:space="0" w:color="auto"/>
              <w:right w:val="single" w:sz="4" w:space="0" w:color="auto"/>
            </w:tcBorders>
            <w:shd w:val="clear" w:color="000000" w:fill="C6E0B4"/>
            <w:vAlign w:val="center"/>
            <w:hideMark/>
          </w:tcPr>
          <w:p w14:paraId="4F617290"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0,25</w:t>
            </w:r>
          </w:p>
        </w:tc>
        <w:tc>
          <w:tcPr>
            <w:tcW w:w="1740" w:type="dxa"/>
            <w:tcBorders>
              <w:top w:val="nil"/>
              <w:left w:val="nil"/>
              <w:bottom w:val="single" w:sz="4" w:space="0" w:color="auto"/>
              <w:right w:val="single" w:sz="4" w:space="0" w:color="auto"/>
            </w:tcBorders>
            <w:shd w:val="clear" w:color="000000" w:fill="F8CBAD"/>
            <w:vAlign w:val="center"/>
            <w:hideMark/>
          </w:tcPr>
          <w:p w14:paraId="6874DAEC"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0,25</w:t>
            </w:r>
          </w:p>
        </w:tc>
        <w:tc>
          <w:tcPr>
            <w:tcW w:w="1740" w:type="dxa"/>
            <w:tcBorders>
              <w:top w:val="nil"/>
              <w:left w:val="nil"/>
              <w:bottom w:val="single" w:sz="4" w:space="0" w:color="auto"/>
              <w:right w:val="single" w:sz="4" w:space="0" w:color="auto"/>
            </w:tcBorders>
            <w:shd w:val="clear" w:color="F2F2F2" w:fill="FFE699"/>
            <w:noWrap/>
            <w:vAlign w:val="bottom"/>
            <w:hideMark/>
          </w:tcPr>
          <w:p w14:paraId="65FF7D0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25FDEFC3"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1F8083DE"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Kopy</w:t>
            </w:r>
          </w:p>
        </w:tc>
        <w:tc>
          <w:tcPr>
            <w:tcW w:w="1680" w:type="dxa"/>
            <w:tcBorders>
              <w:top w:val="nil"/>
              <w:left w:val="nil"/>
              <w:bottom w:val="single" w:sz="4" w:space="0" w:color="auto"/>
              <w:right w:val="single" w:sz="4" w:space="0" w:color="auto"/>
            </w:tcBorders>
            <w:shd w:val="clear" w:color="000000" w:fill="F8CBAD"/>
            <w:vAlign w:val="center"/>
            <w:hideMark/>
          </w:tcPr>
          <w:p w14:paraId="204F9831"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288E60A6"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791E99C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0D803C9C"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19E3D38D"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Luboradz</w:t>
            </w:r>
          </w:p>
        </w:tc>
        <w:tc>
          <w:tcPr>
            <w:tcW w:w="1680" w:type="dxa"/>
            <w:tcBorders>
              <w:top w:val="nil"/>
              <w:left w:val="nil"/>
              <w:bottom w:val="single" w:sz="4" w:space="0" w:color="auto"/>
              <w:right w:val="single" w:sz="4" w:space="0" w:color="auto"/>
            </w:tcBorders>
            <w:shd w:val="clear" w:color="000000" w:fill="F8CBAD"/>
            <w:vAlign w:val="center"/>
            <w:hideMark/>
          </w:tcPr>
          <w:p w14:paraId="5437752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6E973EF3"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3B56D6E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2CC40567"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0BA1DF7A"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Morawce</w:t>
            </w:r>
          </w:p>
        </w:tc>
        <w:tc>
          <w:tcPr>
            <w:tcW w:w="1680" w:type="dxa"/>
            <w:tcBorders>
              <w:top w:val="nil"/>
              <w:left w:val="nil"/>
              <w:bottom w:val="single" w:sz="4" w:space="0" w:color="auto"/>
              <w:right w:val="single" w:sz="4" w:space="0" w:color="auto"/>
            </w:tcBorders>
            <w:shd w:val="clear" w:color="000000" w:fill="C6E0B4"/>
            <w:vAlign w:val="center"/>
            <w:hideMark/>
          </w:tcPr>
          <w:p w14:paraId="5C0704A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0,39</w:t>
            </w:r>
          </w:p>
        </w:tc>
        <w:tc>
          <w:tcPr>
            <w:tcW w:w="1740" w:type="dxa"/>
            <w:tcBorders>
              <w:top w:val="nil"/>
              <w:left w:val="nil"/>
              <w:bottom w:val="single" w:sz="4" w:space="0" w:color="auto"/>
              <w:right w:val="single" w:sz="4" w:space="0" w:color="auto"/>
            </w:tcBorders>
            <w:shd w:val="clear" w:color="000000" w:fill="C6E0B4"/>
            <w:vAlign w:val="center"/>
            <w:hideMark/>
          </w:tcPr>
          <w:p w14:paraId="1449DFB2"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71177A8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5475A978"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7710062C"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Nowe</w:t>
            </w:r>
          </w:p>
        </w:tc>
        <w:tc>
          <w:tcPr>
            <w:tcW w:w="1680" w:type="dxa"/>
            <w:tcBorders>
              <w:top w:val="nil"/>
              <w:left w:val="nil"/>
              <w:bottom w:val="single" w:sz="4" w:space="0" w:color="auto"/>
              <w:right w:val="single" w:sz="4" w:space="0" w:color="auto"/>
            </w:tcBorders>
            <w:shd w:val="clear" w:color="000000" w:fill="F8CBAD"/>
            <w:vAlign w:val="center"/>
            <w:hideMark/>
          </w:tcPr>
          <w:p w14:paraId="3CC9CA4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F8CBAD"/>
            <w:vAlign w:val="center"/>
            <w:hideMark/>
          </w:tcPr>
          <w:p w14:paraId="24630A26"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0,29</w:t>
            </w:r>
          </w:p>
        </w:tc>
        <w:tc>
          <w:tcPr>
            <w:tcW w:w="1740" w:type="dxa"/>
            <w:tcBorders>
              <w:top w:val="nil"/>
              <w:left w:val="nil"/>
              <w:bottom w:val="single" w:sz="4" w:space="0" w:color="auto"/>
              <w:right w:val="single" w:sz="4" w:space="0" w:color="auto"/>
            </w:tcBorders>
            <w:shd w:val="clear" w:color="F2F2F2" w:fill="F8CBAD"/>
            <w:noWrap/>
            <w:vAlign w:val="bottom"/>
            <w:hideMark/>
          </w:tcPr>
          <w:p w14:paraId="0689184B"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7</w:t>
            </w:r>
          </w:p>
        </w:tc>
      </w:tr>
      <w:tr w:rsidR="00EC2434" w:rsidRPr="00EC2434" w14:paraId="70EDA156"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40F35196"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Ostałów</w:t>
            </w:r>
          </w:p>
        </w:tc>
        <w:tc>
          <w:tcPr>
            <w:tcW w:w="1680" w:type="dxa"/>
            <w:tcBorders>
              <w:top w:val="nil"/>
              <w:left w:val="nil"/>
              <w:bottom w:val="single" w:sz="4" w:space="0" w:color="auto"/>
              <w:right w:val="single" w:sz="4" w:space="0" w:color="auto"/>
            </w:tcBorders>
            <w:shd w:val="clear" w:color="000000" w:fill="F8CBAD"/>
            <w:vAlign w:val="center"/>
            <w:hideMark/>
          </w:tcPr>
          <w:p w14:paraId="518DBE09"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45C0313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792DE66B"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2832FAFC"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675353DB"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Pawlikowice</w:t>
            </w:r>
          </w:p>
        </w:tc>
        <w:tc>
          <w:tcPr>
            <w:tcW w:w="1680" w:type="dxa"/>
            <w:tcBorders>
              <w:top w:val="nil"/>
              <w:left w:val="nil"/>
              <w:bottom w:val="single" w:sz="4" w:space="0" w:color="auto"/>
              <w:right w:val="single" w:sz="4" w:space="0" w:color="auto"/>
            </w:tcBorders>
            <w:shd w:val="clear" w:color="000000" w:fill="F8CBAD"/>
            <w:vAlign w:val="center"/>
            <w:hideMark/>
          </w:tcPr>
          <w:p w14:paraId="02C4DCE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555AD29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184EF5A8"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623F0E8B"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46D35DED"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Pomarzany</w:t>
            </w:r>
          </w:p>
        </w:tc>
        <w:tc>
          <w:tcPr>
            <w:tcW w:w="1680" w:type="dxa"/>
            <w:tcBorders>
              <w:top w:val="nil"/>
              <w:left w:val="nil"/>
              <w:bottom w:val="single" w:sz="4" w:space="0" w:color="auto"/>
              <w:right w:val="single" w:sz="4" w:space="0" w:color="auto"/>
            </w:tcBorders>
            <w:shd w:val="clear" w:color="000000" w:fill="C6E0B4"/>
            <w:vAlign w:val="center"/>
            <w:hideMark/>
          </w:tcPr>
          <w:p w14:paraId="35C738C5"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0,37</w:t>
            </w:r>
          </w:p>
        </w:tc>
        <w:tc>
          <w:tcPr>
            <w:tcW w:w="1740" w:type="dxa"/>
            <w:tcBorders>
              <w:top w:val="nil"/>
              <w:left w:val="nil"/>
              <w:bottom w:val="single" w:sz="4" w:space="0" w:color="auto"/>
              <w:right w:val="single" w:sz="4" w:space="0" w:color="auto"/>
            </w:tcBorders>
            <w:shd w:val="clear" w:color="000000" w:fill="F8CBAD"/>
            <w:vAlign w:val="center"/>
            <w:hideMark/>
          </w:tcPr>
          <w:p w14:paraId="36D9B815"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0,37</w:t>
            </w:r>
          </w:p>
        </w:tc>
        <w:tc>
          <w:tcPr>
            <w:tcW w:w="1740" w:type="dxa"/>
            <w:tcBorders>
              <w:top w:val="nil"/>
              <w:left w:val="nil"/>
              <w:bottom w:val="single" w:sz="4" w:space="0" w:color="auto"/>
              <w:right w:val="single" w:sz="4" w:space="0" w:color="auto"/>
            </w:tcBorders>
            <w:shd w:val="clear" w:color="F2F2F2" w:fill="FFE699"/>
            <w:noWrap/>
            <w:vAlign w:val="bottom"/>
            <w:hideMark/>
          </w:tcPr>
          <w:p w14:paraId="5977C14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08F26540"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281DE275"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Suchodoły</w:t>
            </w:r>
          </w:p>
        </w:tc>
        <w:tc>
          <w:tcPr>
            <w:tcW w:w="1680" w:type="dxa"/>
            <w:tcBorders>
              <w:top w:val="nil"/>
              <w:left w:val="nil"/>
              <w:bottom w:val="single" w:sz="4" w:space="0" w:color="auto"/>
              <w:right w:val="single" w:sz="4" w:space="0" w:color="auto"/>
            </w:tcBorders>
            <w:shd w:val="clear" w:color="000000" w:fill="F8CBAD"/>
            <w:vAlign w:val="center"/>
            <w:hideMark/>
          </w:tcPr>
          <w:p w14:paraId="1D8574ED"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23E37A72"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68DD32C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169359C9"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5622F103"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Szubina</w:t>
            </w:r>
          </w:p>
        </w:tc>
        <w:tc>
          <w:tcPr>
            <w:tcW w:w="1680" w:type="dxa"/>
            <w:tcBorders>
              <w:top w:val="nil"/>
              <w:left w:val="nil"/>
              <w:bottom w:val="single" w:sz="4" w:space="0" w:color="auto"/>
              <w:right w:val="single" w:sz="4" w:space="0" w:color="auto"/>
            </w:tcBorders>
            <w:shd w:val="clear" w:color="000000" w:fill="F8CBAD"/>
            <w:vAlign w:val="center"/>
            <w:hideMark/>
          </w:tcPr>
          <w:p w14:paraId="1584D2BD"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23955D8D"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3432A93D"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01607684"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2DE83895"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Szubsk Duży</w:t>
            </w:r>
          </w:p>
        </w:tc>
        <w:tc>
          <w:tcPr>
            <w:tcW w:w="1680" w:type="dxa"/>
            <w:tcBorders>
              <w:top w:val="nil"/>
              <w:left w:val="nil"/>
              <w:bottom w:val="single" w:sz="4" w:space="0" w:color="auto"/>
              <w:right w:val="single" w:sz="4" w:space="0" w:color="auto"/>
            </w:tcBorders>
            <w:shd w:val="clear" w:color="000000" w:fill="F8CBAD"/>
            <w:vAlign w:val="center"/>
            <w:hideMark/>
          </w:tcPr>
          <w:p w14:paraId="40CF6753"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6FBBA1A8"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0C35A751"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3D063F22"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vAlign w:val="bottom"/>
            <w:hideMark/>
          </w:tcPr>
          <w:p w14:paraId="6CAF603F"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Szubsk Towarzystwo</w:t>
            </w:r>
          </w:p>
        </w:tc>
        <w:tc>
          <w:tcPr>
            <w:tcW w:w="1680" w:type="dxa"/>
            <w:tcBorders>
              <w:top w:val="nil"/>
              <w:left w:val="nil"/>
              <w:bottom w:val="single" w:sz="4" w:space="0" w:color="auto"/>
              <w:right w:val="single" w:sz="4" w:space="0" w:color="auto"/>
            </w:tcBorders>
            <w:shd w:val="clear" w:color="000000" w:fill="F8CBAD"/>
            <w:vAlign w:val="center"/>
            <w:hideMark/>
          </w:tcPr>
          <w:p w14:paraId="1F0C36D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32A1A9E8"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7EFFF927"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7D508918"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33B0DFD5"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Teresin</w:t>
            </w:r>
          </w:p>
        </w:tc>
        <w:tc>
          <w:tcPr>
            <w:tcW w:w="1680" w:type="dxa"/>
            <w:tcBorders>
              <w:top w:val="nil"/>
              <w:left w:val="nil"/>
              <w:bottom w:val="single" w:sz="4" w:space="0" w:color="auto"/>
              <w:right w:val="single" w:sz="4" w:space="0" w:color="auto"/>
            </w:tcBorders>
            <w:shd w:val="clear" w:color="000000" w:fill="F8CBAD"/>
            <w:vAlign w:val="center"/>
            <w:hideMark/>
          </w:tcPr>
          <w:p w14:paraId="2387B81C"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28AED9D3"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56E72A59"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44D7B0DA"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15A86C16"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Witów</w:t>
            </w:r>
          </w:p>
        </w:tc>
        <w:tc>
          <w:tcPr>
            <w:tcW w:w="1680" w:type="dxa"/>
            <w:tcBorders>
              <w:top w:val="nil"/>
              <w:left w:val="nil"/>
              <w:bottom w:val="single" w:sz="4" w:space="0" w:color="auto"/>
              <w:right w:val="single" w:sz="4" w:space="0" w:color="auto"/>
            </w:tcBorders>
            <w:shd w:val="clear" w:color="000000" w:fill="F8CBAD"/>
            <w:vAlign w:val="center"/>
            <w:hideMark/>
          </w:tcPr>
          <w:p w14:paraId="79473FF6"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3D6DB482"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34B2A7A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2EABC713"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21A87197"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Wola Nowska</w:t>
            </w:r>
          </w:p>
        </w:tc>
        <w:tc>
          <w:tcPr>
            <w:tcW w:w="1680" w:type="dxa"/>
            <w:tcBorders>
              <w:top w:val="nil"/>
              <w:left w:val="nil"/>
              <w:bottom w:val="single" w:sz="4" w:space="0" w:color="auto"/>
              <w:right w:val="single" w:sz="4" w:space="0" w:color="auto"/>
            </w:tcBorders>
            <w:shd w:val="clear" w:color="000000" w:fill="F8CBAD"/>
            <w:vAlign w:val="center"/>
            <w:hideMark/>
          </w:tcPr>
          <w:p w14:paraId="561A71E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4F900EF8"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649B2372"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00811435"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0F00E4A5"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Wychny</w:t>
            </w:r>
          </w:p>
        </w:tc>
        <w:tc>
          <w:tcPr>
            <w:tcW w:w="1680" w:type="dxa"/>
            <w:tcBorders>
              <w:top w:val="nil"/>
              <w:left w:val="nil"/>
              <w:bottom w:val="single" w:sz="4" w:space="0" w:color="auto"/>
              <w:right w:val="single" w:sz="4" w:space="0" w:color="auto"/>
            </w:tcBorders>
            <w:shd w:val="clear" w:color="000000" w:fill="F8CBAD"/>
            <w:vAlign w:val="center"/>
            <w:hideMark/>
          </w:tcPr>
          <w:p w14:paraId="30503F05"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118E7BA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222BAC63"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05A82A81"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72F0D83E"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Wymysłów</w:t>
            </w:r>
          </w:p>
        </w:tc>
        <w:tc>
          <w:tcPr>
            <w:tcW w:w="1680" w:type="dxa"/>
            <w:tcBorders>
              <w:top w:val="nil"/>
              <w:left w:val="nil"/>
              <w:bottom w:val="single" w:sz="4" w:space="0" w:color="auto"/>
              <w:right w:val="single" w:sz="4" w:space="0" w:color="auto"/>
            </w:tcBorders>
            <w:shd w:val="clear" w:color="000000" w:fill="F8CBAD"/>
            <w:vAlign w:val="center"/>
            <w:hideMark/>
          </w:tcPr>
          <w:p w14:paraId="1CA4BC10"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76CF624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0CFA9EBB"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6E8ED35D"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1F733DAE"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Zalesie</w:t>
            </w:r>
          </w:p>
        </w:tc>
        <w:tc>
          <w:tcPr>
            <w:tcW w:w="1680" w:type="dxa"/>
            <w:tcBorders>
              <w:top w:val="nil"/>
              <w:left w:val="nil"/>
              <w:bottom w:val="single" w:sz="4" w:space="0" w:color="auto"/>
              <w:right w:val="single" w:sz="4" w:space="0" w:color="auto"/>
            </w:tcBorders>
            <w:shd w:val="clear" w:color="000000" w:fill="F8CBAD"/>
            <w:vAlign w:val="center"/>
            <w:hideMark/>
          </w:tcPr>
          <w:p w14:paraId="2311F323"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02A93EA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31D5B508"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0498FCFD" w14:textId="77777777" w:rsidTr="00EC2434">
        <w:trPr>
          <w:trHeight w:val="290"/>
        </w:trPr>
        <w:tc>
          <w:tcPr>
            <w:tcW w:w="4106" w:type="dxa"/>
            <w:tcBorders>
              <w:top w:val="nil"/>
              <w:left w:val="single" w:sz="4" w:space="0" w:color="auto"/>
              <w:bottom w:val="single" w:sz="4" w:space="0" w:color="auto"/>
              <w:right w:val="single" w:sz="4" w:space="0" w:color="auto"/>
            </w:tcBorders>
            <w:shd w:val="clear" w:color="F2F2F2" w:fill="FFFFFF"/>
            <w:noWrap/>
            <w:vAlign w:val="bottom"/>
            <w:hideMark/>
          </w:tcPr>
          <w:p w14:paraId="784F975C"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Zieleniew</w:t>
            </w:r>
          </w:p>
        </w:tc>
        <w:tc>
          <w:tcPr>
            <w:tcW w:w="1680" w:type="dxa"/>
            <w:tcBorders>
              <w:top w:val="nil"/>
              <w:left w:val="nil"/>
              <w:bottom w:val="single" w:sz="4" w:space="0" w:color="auto"/>
              <w:right w:val="single" w:sz="4" w:space="0" w:color="auto"/>
            </w:tcBorders>
            <w:shd w:val="clear" w:color="000000" w:fill="F8CBAD"/>
            <w:vAlign w:val="center"/>
            <w:hideMark/>
          </w:tcPr>
          <w:p w14:paraId="206E98F0"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000000" w:fill="C6E0B4"/>
            <w:vAlign w:val="center"/>
            <w:hideMark/>
          </w:tcPr>
          <w:p w14:paraId="4DEDF40C"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740" w:type="dxa"/>
            <w:tcBorders>
              <w:top w:val="nil"/>
              <w:left w:val="nil"/>
              <w:bottom w:val="single" w:sz="4" w:space="0" w:color="auto"/>
              <w:right w:val="single" w:sz="4" w:space="0" w:color="auto"/>
            </w:tcBorders>
            <w:shd w:val="clear" w:color="F2F2F2" w:fill="FFE699"/>
            <w:noWrap/>
            <w:vAlign w:val="bottom"/>
            <w:hideMark/>
          </w:tcPr>
          <w:p w14:paraId="3CB8476D"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bl>
    <w:p w14:paraId="4B88689F" w14:textId="77777777" w:rsidR="00EC2434" w:rsidRPr="00EC2434" w:rsidRDefault="00EC2434" w:rsidP="00B80592">
      <w:pPr>
        <w:pStyle w:val="Legenda"/>
        <w:rPr>
          <w:rStyle w:val="Tytuksiki"/>
          <w:color w:val="auto"/>
          <w:sz w:val="6"/>
          <w:szCs w:val="6"/>
        </w:rPr>
      </w:pPr>
    </w:p>
    <w:tbl>
      <w:tblPr>
        <w:tblW w:w="9266" w:type="dxa"/>
        <w:tblCellMar>
          <w:left w:w="70" w:type="dxa"/>
          <w:right w:w="70" w:type="dxa"/>
        </w:tblCellMar>
        <w:tblLook w:val="04A0" w:firstRow="1" w:lastRow="0" w:firstColumn="1" w:lastColumn="0" w:noHBand="0" w:noVBand="1"/>
      </w:tblPr>
      <w:tblGrid>
        <w:gridCol w:w="4106"/>
        <w:gridCol w:w="1680"/>
        <w:gridCol w:w="1740"/>
        <w:gridCol w:w="1740"/>
      </w:tblGrid>
      <w:tr w:rsidR="00EC2434" w:rsidRPr="00EC2434" w14:paraId="333E9F9F" w14:textId="77777777" w:rsidTr="00EC2434">
        <w:trPr>
          <w:trHeight w:val="285"/>
        </w:trPr>
        <w:tc>
          <w:tcPr>
            <w:tcW w:w="4106" w:type="dxa"/>
            <w:tcBorders>
              <w:top w:val="single" w:sz="4" w:space="0" w:color="auto"/>
              <w:left w:val="single" w:sz="4" w:space="0" w:color="auto"/>
              <w:bottom w:val="single" w:sz="4" w:space="0" w:color="auto"/>
              <w:right w:val="nil"/>
            </w:tcBorders>
            <w:vAlign w:val="center"/>
            <w:hideMark/>
          </w:tcPr>
          <w:p w14:paraId="1668A4C7"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Średnia</w:t>
            </w: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478623C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0,21</w:t>
            </w:r>
          </w:p>
        </w:tc>
        <w:tc>
          <w:tcPr>
            <w:tcW w:w="1740" w:type="dxa"/>
            <w:tcBorders>
              <w:top w:val="single" w:sz="4" w:space="0" w:color="auto"/>
              <w:left w:val="nil"/>
              <w:bottom w:val="single" w:sz="4" w:space="0" w:color="auto"/>
              <w:right w:val="single" w:sz="4" w:space="0" w:color="auto"/>
            </w:tcBorders>
            <w:noWrap/>
            <w:vAlign w:val="bottom"/>
            <w:hideMark/>
          </w:tcPr>
          <w:p w14:paraId="00189AE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0,16</w:t>
            </w:r>
          </w:p>
        </w:tc>
        <w:tc>
          <w:tcPr>
            <w:tcW w:w="1740" w:type="dxa"/>
            <w:tcBorders>
              <w:top w:val="single" w:sz="4" w:space="0" w:color="auto"/>
              <w:left w:val="nil"/>
              <w:bottom w:val="single" w:sz="4" w:space="0" w:color="auto"/>
              <w:right w:val="single" w:sz="4" w:space="0" w:color="auto"/>
            </w:tcBorders>
            <w:noWrap/>
            <w:vAlign w:val="bottom"/>
            <w:hideMark/>
          </w:tcPr>
          <w:p w14:paraId="4AFBA6E6"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4,00</w:t>
            </w:r>
          </w:p>
        </w:tc>
      </w:tr>
      <w:tr w:rsidR="00EC2434" w:rsidRPr="00EC2434" w14:paraId="56987741" w14:textId="77777777" w:rsidTr="00EC2434">
        <w:trPr>
          <w:trHeight w:val="285"/>
        </w:trPr>
        <w:tc>
          <w:tcPr>
            <w:tcW w:w="4106" w:type="dxa"/>
            <w:tcBorders>
              <w:top w:val="nil"/>
              <w:left w:val="single" w:sz="4" w:space="0" w:color="auto"/>
              <w:bottom w:val="single" w:sz="4" w:space="0" w:color="auto"/>
              <w:right w:val="nil"/>
            </w:tcBorders>
            <w:vAlign w:val="center"/>
            <w:hideMark/>
          </w:tcPr>
          <w:p w14:paraId="047E649E"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xml:space="preserve">Przedział średniej </w:t>
            </w:r>
          </w:p>
        </w:tc>
        <w:tc>
          <w:tcPr>
            <w:tcW w:w="1680" w:type="dxa"/>
            <w:tcBorders>
              <w:top w:val="single" w:sz="4" w:space="0" w:color="auto"/>
              <w:left w:val="nil"/>
              <w:bottom w:val="single" w:sz="4" w:space="0" w:color="auto"/>
              <w:right w:val="single" w:sz="4" w:space="0" w:color="auto"/>
            </w:tcBorders>
            <w:vAlign w:val="center"/>
            <w:hideMark/>
          </w:tcPr>
          <w:p w14:paraId="7FE6AA4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0,18-0,24</w:t>
            </w:r>
          </w:p>
        </w:tc>
        <w:tc>
          <w:tcPr>
            <w:tcW w:w="1740" w:type="dxa"/>
            <w:tcBorders>
              <w:top w:val="single" w:sz="4" w:space="0" w:color="auto"/>
              <w:left w:val="nil"/>
              <w:bottom w:val="single" w:sz="4" w:space="0" w:color="auto"/>
              <w:right w:val="single" w:sz="4" w:space="0" w:color="auto"/>
            </w:tcBorders>
            <w:vAlign w:val="center"/>
            <w:hideMark/>
          </w:tcPr>
          <w:p w14:paraId="4F207948"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0,14-0,19</w:t>
            </w:r>
          </w:p>
        </w:tc>
        <w:tc>
          <w:tcPr>
            <w:tcW w:w="1740" w:type="dxa"/>
            <w:tcBorders>
              <w:top w:val="single" w:sz="4" w:space="0" w:color="auto"/>
              <w:left w:val="nil"/>
              <w:bottom w:val="single" w:sz="4" w:space="0" w:color="auto"/>
              <w:right w:val="single" w:sz="4" w:space="0" w:color="auto"/>
            </w:tcBorders>
            <w:vAlign w:val="center"/>
            <w:hideMark/>
          </w:tcPr>
          <w:p w14:paraId="2BD99E3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3-4.</w:t>
            </w:r>
          </w:p>
        </w:tc>
      </w:tr>
      <w:tr w:rsidR="00EC2434" w:rsidRPr="00EC2434" w14:paraId="1889B3F6" w14:textId="77777777" w:rsidTr="00EC2434">
        <w:trPr>
          <w:trHeight w:val="285"/>
        </w:trPr>
        <w:tc>
          <w:tcPr>
            <w:tcW w:w="4106" w:type="dxa"/>
            <w:tcBorders>
              <w:top w:val="nil"/>
              <w:left w:val="single" w:sz="4" w:space="0" w:color="auto"/>
              <w:bottom w:val="single" w:sz="4" w:space="0" w:color="auto"/>
              <w:right w:val="nil"/>
            </w:tcBorders>
            <w:shd w:val="clear" w:color="000000" w:fill="E7E6E6"/>
            <w:vAlign w:val="bottom"/>
            <w:hideMark/>
          </w:tcPr>
          <w:p w14:paraId="3223E470"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Wartość minimalna do korelacji</w:t>
            </w:r>
          </w:p>
        </w:tc>
        <w:tc>
          <w:tcPr>
            <w:tcW w:w="1680" w:type="dxa"/>
            <w:tcBorders>
              <w:top w:val="nil"/>
              <w:left w:val="single" w:sz="4" w:space="0" w:color="auto"/>
              <w:bottom w:val="single" w:sz="4" w:space="0" w:color="auto"/>
              <w:right w:val="single" w:sz="4" w:space="0" w:color="auto"/>
            </w:tcBorders>
            <w:shd w:val="clear" w:color="000000" w:fill="E7E6E6"/>
            <w:vAlign w:val="bottom"/>
            <w:hideMark/>
          </w:tcPr>
          <w:p w14:paraId="25FF5EC7"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0,02</w:t>
            </w:r>
          </w:p>
        </w:tc>
        <w:tc>
          <w:tcPr>
            <w:tcW w:w="1740" w:type="dxa"/>
            <w:tcBorders>
              <w:top w:val="nil"/>
              <w:left w:val="nil"/>
              <w:bottom w:val="single" w:sz="4" w:space="0" w:color="auto"/>
              <w:right w:val="single" w:sz="4" w:space="0" w:color="auto"/>
            </w:tcBorders>
            <w:shd w:val="clear" w:color="000000" w:fill="E7E6E6"/>
            <w:vAlign w:val="bottom"/>
            <w:hideMark/>
          </w:tcPr>
          <w:p w14:paraId="50E3B3B6"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0,02</w:t>
            </w:r>
          </w:p>
        </w:tc>
        <w:tc>
          <w:tcPr>
            <w:tcW w:w="1740" w:type="dxa"/>
            <w:tcBorders>
              <w:top w:val="nil"/>
              <w:left w:val="nil"/>
              <w:bottom w:val="single" w:sz="4" w:space="0" w:color="auto"/>
              <w:right w:val="single" w:sz="4" w:space="0" w:color="auto"/>
            </w:tcBorders>
            <w:shd w:val="clear" w:color="000000" w:fill="E7E6E6"/>
            <w:vAlign w:val="bottom"/>
            <w:hideMark/>
          </w:tcPr>
          <w:p w14:paraId="4A722888"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0,60</w:t>
            </w:r>
          </w:p>
        </w:tc>
      </w:tr>
      <w:tr w:rsidR="00EC2434" w:rsidRPr="00EC2434" w14:paraId="30E3134F" w14:textId="77777777" w:rsidTr="00EC2434">
        <w:trPr>
          <w:trHeight w:val="285"/>
        </w:trPr>
        <w:tc>
          <w:tcPr>
            <w:tcW w:w="4106" w:type="dxa"/>
            <w:tcBorders>
              <w:top w:val="nil"/>
              <w:left w:val="single" w:sz="4" w:space="0" w:color="auto"/>
              <w:bottom w:val="single" w:sz="4" w:space="0" w:color="auto"/>
              <w:right w:val="nil"/>
            </w:tcBorders>
            <w:shd w:val="clear" w:color="000000" w:fill="E7E6E6"/>
            <w:vAlign w:val="bottom"/>
            <w:hideMark/>
          </w:tcPr>
          <w:p w14:paraId="75C9B3F0"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Wartość maksymalna do korelacji</w:t>
            </w:r>
          </w:p>
        </w:tc>
        <w:tc>
          <w:tcPr>
            <w:tcW w:w="1680" w:type="dxa"/>
            <w:tcBorders>
              <w:top w:val="nil"/>
              <w:left w:val="single" w:sz="4" w:space="0" w:color="auto"/>
              <w:bottom w:val="single" w:sz="4" w:space="0" w:color="auto"/>
              <w:right w:val="single" w:sz="4" w:space="0" w:color="auto"/>
            </w:tcBorders>
            <w:shd w:val="clear" w:color="000000" w:fill="E7E6E6"/>
            <w:vAlign w:val="bottom"/>
            <w:hideMark/>
          </w:tcPr>
          <w:p w14:paraId="5608FAA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0,03</w:t>
            </w:r>
          </w:p>
        </w:tc>
        <w:tc>
          <w:tcPr>
            <w:tcW w:w="1740" w:type="dxa"/>
            <w:tcBorders>
              <w:top w:val="nil"/>
              <w:left w:val="nil"/>
              <w:bottom w:val="single" w:sz="4" w:space="0" w:color="auto"/>
              <w:right w:val="single" w:sz="4" w:space="0" w:color="auto"/>
            </w:tcBorders>
            <w:shd w:val="clear" w:color="000000" w:fill="E7E6E6"/>
            <w:vAlign w:val="bottom"/>
            <w:hideMark/>
          </w:tcPr>
          <w:p w14:paraId="31845A8B"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0,03</w:t>
            </w:r>
          </w:p>
        </w:tc>
        <w:tc>
          <w:tcPr>
            <w:tcW w:w="1740" w:type="dxa"/>
            <w:tcBorders>
              <w:top w:val="nil"/>
              <w:left w:val="nil"/>
              <w:bottom w:val="single" w:sz="4" w:space="0" w:color="auto"/>
              <w:right w:val="single" w:sz="4" w:space="0" w:color="auto"/>
            </w:tcBorders>
            <w:shd w:val="clear" w:color="000000" w:fill="E7E6E6"/>
            <w:vAlign w:val="bottom"/>
            <w:hideMark/>
          </w:tcPr>
          <w:p w14:paraId="3D924EB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1,00</w:t>
            </w:r>
          </w:p>
        </w:tc>
      </w:tr>
      <w:tr w:rsidR="00EC2434" w:rsidRPr="00EC2434" w14:paraId="3605EC6C" w14:textId="77777777" w:rsidTr="00EC2434">
        <w:trPr>
          <w:trHeight w:val="285"/>
        </w:trPr>
        <w:tc>
          <w:tcPr>
            <w:tcW w:w="4106" w:type="dxa"/>
            <w:tcBorders>
              <w:top w:val="nil"/>
              <w:left w:val="single" w:sz="4" w:space="0" w:color="auto"/>
              <w:bottom w:val="single" w:sz="4" w:space="0" w:color="auto"/>
              <w:right w:val="nil"/>
            </w:tcBorders>
            <w:shd w:val="clear" w:color="000000" w:fill="FFFFFF"/>
            <w:vAlign w:val="center"/>
            <w:hideMark/>
          </w:tcPr>
          <w:p w14:paraId="12687A18"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Minimalny przedział wartości ujemnej</w:t>
            </w:r>
          </w:p>
        </w:tc>
        <w:tc>
          <w:tcPr>
            <w:tcW w:w="1680" w:type="dxa"/>
            <w:tcBorders>
              <w:top w:val="nil"/>
              <w:left w:val="single" w:sz="4" w:space="0" w:color="auto"/>
              <w:bottom w:val="single" w:sz="4" w:space="0" w:color="auto"/>
              <w:right w:val="single" w:sz="4" w:space="0" w:color="auto"/>
            </w:tcBorders>
            <w:shd w:val="clear" w:color="000000" w:fill="FFFFFF"/>
            <w:noWrap/>
            <w:vAlign w:val="bottom"/>
            <w:hideMark/>
          </w:tcPr>
          <w:p w14:paraId="4D20ADA1"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0,19</w:t>
            </w:r>
          </w:p>
        </w:tc>
        <w:tc>
          <w:tcPr>
            <w:tcW w:w="1740" w:type="dxa"/>
            <w:tcBorders>
              <w:top w:val="nil"/>
              <w:left w:val="nil"/>
              <w:bottom w:val="single" w:sz="4" w:space="0" w:color="auto"/>
              <w:right w:val="single" w:sz="4" w:space="0" w:color="auto"/>
            </w:tcBorders>
            <w:shd w:val="clear" w:color="000000" w:fill="FFFFFF"/>
            <w:noWrap/>
            <w:vAlign w:val="bottom"/>
            <w:hideMark/>
          </w:tcPr>
          <w:p w14:paraId="79B1DB31"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0,14</w:t>
            </w:r>
          </w:p>
        </w:tc>
        <w:tc>
          <w:tcPr>
            <w:tcW w:w="1740" w:type="dxa"/>
            <w:tcBorders>
              <w:top w:val="nil"/>
              <w:left w:val="nil"/>
              <w:bottom w:val="single" w:sz="4" w:space="0" w:color="auto"/>
              <w:right w:val="single" w:sz="4" w:space="0" w:color="auto"/>
            </w:tcBorders>
            <w:shd w:val="clear" w:color="000000" w:fill="FFFFFF"/>
            <w:noWrap/>
            <w:vAlign w:val="bottom"/>
            <w:hideMark/>
          </w:tcPr>
          <w:p w14:paraId="3732E19C"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3,40</w:t>
            </w:r>
          </w:p>
        </w:tc>
      </w:tr>
      <w:tr w:rsidR="00EC2434" w:rsidRPr="00EC2434" w14:paraId="65919F20" w14:textId="77777777" w:rsidTr="00EC2434">
        <w:trPr>
          <w:trHeight w:val="285"/>
        </w:trPr>
        <w:tc>
          <w:tcPr>
            <w:tcW w:w="4106" w:type="dxa"/>
            <w:tcBorders>
              <w:top w:val="nil"/>
              <w:left w:val="single" w:sz="4" w:space="0" w:color="auto"/>
              <w:bottom w:val="single" w:sz="4" w:space="0" w:color="auto"/>
              <w:right w:val="nil"/>
            </w:tcBorders>
            <w:shd w:val="clear" w:color="000000" w:fill="FFFFFF"/>
            <w:vAlign w:val="bottom"/>
            <w:hideMark/>
          </w:tcPr>
          <w:p w14:paraId="1C4BC168"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Maksymalny przedział wartości ujemnej</w:t>
            </w:r>
          </w:p>
        </w:tc>
        <w:tc>
          <w:tcPr>
            <w:tcW w:w="1680" w:type="dxa"/>
            <w:tcBorders>
              <w:top w:val="nil"/>
              <w:left w:val="single" w:sz="4" w:space="0" w:color="auto"/>
              <w:bottom w:val="single" w:sz="4" w:space="0" w:color="auto"/>
              <w:right w:val="single" w:sz="4" w:space="0" w:color="auto"/>
            </w:tcBorders>
            <w:shd w:val="clear" w:color="000000" w:fill="FFFFFF"/>
            <w:noWrap/>
            <w:vAlign w:val="bottom"/>
            <w:hideMark/>
          </w:tcPr>
          <w:p w14:paraId="214761EA"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0,18</w:t>
            </w:r>
          </w:p>
        </w:tc>
        <w:tc>
          <w:tcPr>
            <w:tcW w:w="1740" w:type="dxa"/>
            <w:tcBorders>
              <w:top w:val="nil"/>
              <w:left w:val="nil"/>
              <w:bottom w:val="single" w:sz="4" w:space="0" w:color="auto"/>
              <w:right w:val="single" w:sz="4" w:space="0" w:color="auto"/>
            </w:tcBorders>
            <w:shd w:val="clear" w:color="000000" w:fill="FFFFFF"/>
            <w:noWrap/>
            <w:vAlign w:val="bottom"/>
            <w:hideMark/>
          </w:tcPr>
          <w:p w14:paraId="4A840B26"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0,13</w:t>
            </w:r>
          </w:p>
        </w:tc>
        <w:tc>
          <w:tcPr>
            <w:tcW w:w="1740" w:type="dxa"/>
            <w:tcBorders>
              <w:top w:val="nil"/>
              <w:left w:val="nil"/>
              <w:bottom w:val="single" w:sz="4" w:space="0" w:color="auto"/>
              <w:right w:val="single" w:sz="4" w:space="0" w:color="auto"/>
            </w:tcBorders>
            <w:shd w:val="clear" w:color="000000" w:fill="FFFFFF"/>
            <w:noWrap/>
            <w:vAlign w:val="bottom"/>
            <w:hideMark/>
          </w:tcPr>
          <w:p w14:paraId="46AC9309"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3,00</w:t>
            </w:r>
          </w:p>
        </w:tc>
      </w:tr>
      <w:tr w:rsidR="00EC2434" w:rsidRPr="00EC2434" w14:paraId="20229388" w14:textId="77777777" w:rsidTr="00EC2434">
        <w:trPr>
          <w:trHeight w:val="285"/>
        </w:trPr>
        <w:tc>
          <w:tcPr>
            <w:tcW w:w="4106" w:type="dxa"/>
            <w:tcBorders>
              <w:top w:val="nil"/>
              <w:left w:val="single" w:sz="4" w:space="0" w:color="auto"/>
              <w:bottom w:val="single" w:sz="4" w:space="0" w:color="auto"/>
              <w:right w:val="nil"/>
            </w:tcBorders>
            <w:shd w:val="clear" w:color="000000" w:fill="FFFFFF"/>
            <w:vAlign w:val="bottom"/>
            <w:hideMark/>
          </w:tcPr>
          <w:p w14:paraId="1E928D2E"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Minimalny przedział wartości dodatniej</w:t>
            </w:r>
          </w:p>
        </w:tc>
        <w:tc>
          <w:tcPr>
            <w:tcW w:w="1680" w:type="dxa"/>
            <w:tcBorders>
              <w:top w:val="nil"/>
              <w:left w:val="single" w:sz="4" w:space="0" w:color="auto"/>
              <w:bottom w:val="single" w:sz="4" w:space="0" w:color="auto"/>
              <w:right w:val="single" w:sz="4" w:space="0" w:color="auto"/>
            </w:tcBorders>
            <w:shd w:val="clear" w:color="000000" w:fill="FFFFFF"/>
            <w:noWrap/>
            <w:vAlign w:val="bottom"/>
            <w:hideMark/>
          </w:tcPr>
          <w:p w14:paraId="773EEF88"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0,23</w:t>
            </w:r>
          </w:p>
        </w:tc>
        <w:tc>
          <w:tcPr>
            <w:tcW w:w="1740" w:type="dxa"/>
            <w:tcBorders>
              <w:top w:val="nil"/>
              <w:left w:val="nil"/>
              <w:bottom w:val="single" w:sz="4" w:space="0" w:color="auto"/>
              <w:right w:val="single" w:sz="4" w:space="0" w:color="auto"/>
            </w:tcBorders>
            <w:shd w:val="clear" w:color="000000" w:fill="FFFFFF"/>
            <w:noWrap/>
            <w:vAlign w:val="bottom"/>
            <w:hideMark/>
          </w:tcPr>
          <w:p w14:paraId="44781BBC"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0,18</w:t>
            </w:r>
          </w:p>
        </w:tc>
        <w:tc>
          <w:tcPr>
            <w:tcW w:w="1740" w:type="dxa"/>
            <w:tcBorders>
              <w:top w:val="nil"/>
              <w:left w:val="nil"/>
              <w:bottom w:val="single" w:sz="4" w:space="0" w:color="auto"/>
              <w:right w:val="single" w:sz="4" w:space="0" w:color="auto"/>
            </w:tcBorders>
            <w:shd w:val="clear" w:color="000000" w:fill="FFFFFF"/>
            <w:noWrap/>
            <w:vAlign w:val="bottom"/>
            <w:hideMark/>
          </w:tcPr>
          <w:p w14:paraId="4ECCC15B"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4,60</w:t>
            </w:r>
          </w:p>
        </w:tc>
      </w:tr>
      <w:tr w:rsidR="00EC2434" w:rsidRPr="00EC2434" w14:paraId="7CC91FE2" w14:textId="77777777" w:rsidTr="00EC2434">
        <w:trPr>
          <w:trHeight w:val="285"/>
        </w:trPr>
        <w:tc>
          <w:tcPr>
            <w:tcW w:w="4106" w:type="dxa"/>
            <w:tcBorders>
              <w:top w:val="nil"/>
              <w:left w:val="single" w:sz="4" w:space="0" w:color="auto"/>
              <w:bottom w:val="single" w:sz="4" w:space="0" w:color="auto"/>
              <w:right w:val="nil"/>
            </w:tcBorders>
            <w:shd w:val="clear" w:color="000000" w:fill="FFFFFF"/>
            <w:vAlign w:val="bottom"/>
            <w:hideMark/>
          </w:tcPr>
          <w:p w14:paraId="69828938"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Maksymalny przedział wartości dodatniej</w:t>
            </w:r>
          </w:p>
        </w:tc>
        <w:tc>
          <w:tcPr>
            <w:tcW w:w="1680" w:type="dxa"/>
            <w:tcBorders>
              <w:top w:val="nil"/>
              <w:left w:val="single" w:sz="4" w:space="0" w:color="auto"/>
              <w:bottom w:val="single" w:sz="4" w:space="0" w:color="auto"/>
              <w:right w:val="single" w:sz="4" w:space="0" w:color="auto"/>
            </w:tcBorders>
            <w:shd w:val="clear" w:color="000000" w:fill="FFFFFF"/>
            <w:noWrap/>
            <w:vAlign w:val="bottom"/>
            <w:hideMark/>
          </w:tcPr>
          <w:p w14:paraId="4FD707C1"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0,24</w:t>
            </w:r>
          </w:p>
        </w:tc>
        <w:tc>
          <w:tcPr>
            <w:tcW w:w="1740" w:type="dxa"/>
            <w:tcBorders>
              <w:top w:val="nil"/>
              <w:left w:val="nil"/>
              <w:bottom w:val="single" w:sz="4" w:space="0" w:color="auto"/>
              <w:right w:val="single" w:sz="4" w:space="0" w:color="auto"/>
            </w:tcBorders>
            <w:shd w:val="clear" w:color="000000" w:fill="FFFFFF"/>
            <w:noWrap/>
            <w:vAlign w:val="bottom"/>
            <w:hideMark/>
          </w:tcPr>
          <w:p w14:paraId="07514BDC"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0,19</w:t>
            </w:r>
          </w:p>
        </w:tc>
        <w:tc>
          <w:tcPr>
            <w:tcW w:w="1740" w:type="dxa"/>
            <w:tcBorders>
              <w:top w:val="nil"/>
              <w:left w:val="nil"/>
              <w:bottom w:val="single" w:sz="4" w:space="0" w:color="auto"/>
              <w:right w:val="single" w:sz="4" w:space="0" w:color="auto"/>
            </w:tcBorders>
            <w:shd w:val="clear" w:color="000000" w:fill="FFFFFF"/>
            <w:noWrap/>
            <w:vAlign w:val="bottom"/>
            <w:hideMark/>
          </w:tcPr>
          <w:p w14:paraId="54D7FB1B"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4,00</w:t>
            </w:r>
          </w:p>
        </w:tc>
      </w:tr>
      <w:tr w:rsidR="00EC2434" w:rsidRPr="00EC2434" w14:paraId="296D2EA7" w14:textId="77777777" w:rsidTr="00EC2434">
        <w:trPr>
          <w:trHeight w:val="285"/>
        </w:trPr>
        <w:tc>
          <w:tcPr>
            <w:tcW w:w="4106" w:type="dxa"/>
            <w:tcBorders>
              <w:top w:val="nil"/>
              <w:left w:val="single" w:sz="4" w:space="0" w:color="auto"/>
              <w:bottom w:val="single" w:sz="4" w:space="0" w:color="auto"/>
              <w:right w:val="nil"/>
            </w:tcBorders>
            <w:shd w:val="clear" w:color="000000" w:fill="C6E0B4"/>
            <w:vAlign w:val="center"/>
            <w:hideMark/>
          </w:tcPr>
          <w:p w14:paraId="4AD92294"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xml:space="preserve">Poniżej średniej </w:t>
            </w:r>
          </w:p>
        </w:tc>
        <w:tc>
          <w:tcPr>
            <w:tcW w:w="1680" w:type="dxa"/>
            <w:tcBorders>
              <w:top w:val="nil"/>
              <w:left w:val="single" w:sz="4" w:space="0" w:color="auto"/>
              <w:bottom w:val="single" w:sz="4" w:space="0" w:color="auto"/>
              <w:right w:val="single" w:sz="4" w:space="0" w:color="auto"/>
            </w:tcBorders>
            <w:shd w:val="clear" w:color="000000" w:fill="F8CBAD"/>
            <w:vAlign w:val="bottom"/>
            <w:hideMark/>
          </w:tcPr>
          <w:p w14:paraId="07105CD0"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c>
          <w:tcPr>
            <w:tcW w:w="1740" w:type="dxa"/>
            <w:tcBorders>
              <w:top w:val="single" w:sz="4" w:space="0" w:color="auto"/>
              <w:left w:val="nil"/>
              <w:bottom w:val="single" w:sz="4" w:space="0" w:color="auto"/>
              <w:right w:val="single" w:sz="4" w:space="0" w:color="auto"/>
            </w:tcBorders>
            <w:shd w:val="clear" w:color="000000" w:fill="C6E0B4"/>
            <w:vAlign w:val="bottom"/>
            <w:hideMark/>
          </w:tcPr>
          <w:p w14:paraId="19C55143"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c>
          <w:tcPr>
            <w:tcW w:w="1740" w:type="dxa"/>
            <w:tcBorders>
              <w:top w:val="single" w:sz="4" w:space="0" w:color="auto"/>
              <w:left w:val="nil"/>
              <w:bottom w:val="single" w:sz="4" w:space="0" w:color="auto"/>
              <w:right w:val="single" w:sz="4" w:space="0" w:color="auto"/>
            </w:tcBorders>
            <w:shd w:val="clear" w:color="000000" w:fill="C6E0B4"/>
            <w:vAlign w:val="bottom"/>
            <w:hideMark/>
          </w:tcPr>
          <w:p w14:paraId="41CB2592"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r>
      <w:tr w:rsidR="00EC2434" w:rsidRPr="00EC2434" w14:paraId="4E5C7BD8" w14:textId="77777777" w:rsidTr="00EC2434">
        <w:trPr>
          <w:trHeight w:val="285"/>
        </w:trPr>
        <w:tc>
          <w:tcPr>
            <w:tcW w:w="4106" w:type="dxa"/>
            <w:tcBorders>
              <w:top w:val="nil"/>
              <w:left w:val="single" w:sz="4" w:space="0" w:color="auto"/>
              <w:bottom w:val="single" w:sz="4" w:space="0" w:color="auto"/>
              <w:right w:val="nil"/>
            </w:tcBorders>
            <w:shd w:val="clear" w:color="000000" w:fill="FFE699"/>
            <w:vAlign w:val="center"/>
            <w:hideMark/>
          </w:tcPr>
          <w:p w14:paraId="5CA383A0"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Średnia</w:t>
            </w:r>
          </w:p>
        </w:tc>
        <w:tc>
          <w:tcPr>
            <w:tcW w:w="1680" w:type="dxa"/>
            <w:tcBorders>
              <w:top w:val="nil"/>
              <w:left w:val="single" w:sz="4" w:space="0" w:color="auto"/>
              <w:bottom w:val="single" w:sz="4" w:space="0" w:color="auto"/>
              <w:right w:val="single" w:sz="4" w:space="0" w:color="auto"/>
            </w:tcBorders>
            <w:shd w:val="clear" w:color="000000" w:fill="FFE699"/>
            <w:vAlign w:val="bottom"/>
            <w:hideMark/>
          </w:tcPr>
          <w:p w14:paraId="07FD6B7E"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c>
          <w:tcPr>
            <w:tcW w:w="1740" w:type="dxa"/>
            <w:tcBorders>
              <w:top w:val="nil"/>
              <w:left w:val="nil"/>
              <w:bottom w:val="single" w:sz="4" w:space="0" w:color="auto"/>
              <w:right w:val="single" w:sz="4" w:space="0" w:color="auto"/>
            </w:tcBorders>
            <w:shd w:val="clear" w:color="000000" w:fill="FFE699"/>
            <w:vAlign w:val="bottom"/>
            <w:hideMark/>
          </w:tcPr>
          <w:p w14:paraId="20117680"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c>
          <w:tcPr>
            <w:tcW w:w="1740" w:type="dxa"/>
            <w:tcBorders>
              <w:top w:val="nil"/>
              <w:left w:val="nil"/>
              <w:bottom w:val="single" w:sz="4" w:space="0" w:color="auto"/>
              <w:right w:val="single" w:sz="4" w:space="0" w:color="auto"/>
            </w:tcBorders>
            <w:shd w:val="clear" w:color="000000" w:fill="FFE699"/>
            <w:vAlign w:val="bottom"/>
            <w:hideMark/>
          </w:tcPr>
          <w:p w14:paraId="58FBC90A"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r>
      <w:tr w:rsidR="00EC2434" w:rsidRPr="00EC2434" w14:paraId="0A14BA5A" w14:textId="77777777" w:rsidTr="00EC2434">
        <w:trPr>
          <w:trHeight w:val="285"/>
        </w:trPr>
        <w:tc>
          <w:tcPr>
            <w:tcW w:w="4106" w:type="dxa"/>
            <w:tcBorders>
              <w:top w:val="nil"/>
              <w:left w:val="single" w:sz="4" w:space="0" w:color="auto"/>
              <w:bottom w:val="single" w:sz="4" w:space="0" w:color="auto"/>
              <w:right w:val="nil"/>
            </w:tcBorders>
            <w:shd w:val="clear" w:color="000000" w:fill="F8CBAD"/>
            <w:vAlign w:val="center"/>
            <w:hideMark/>
          </w:tcPr>
          <w:p w14:paraId="4D07E6EF"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xml:space="preserve">Powyżej średniej </w:t>
            </w:r>
          </w:p>
        </w:tc>
        <w:tc>
          <w:tcPr>
            <w:tcW w:w="1680" w:type="dxa"/>
            <w:tcBorders>
              <w:top w:val="nil"/>
              <w:left w:val="single" w:sz="4" w:space="0" w:color="auto"/>
              <w:bottom w:val="single" w:sz="4" w:space="0" w:color="auto"/>
              <w:right w:val="single" w:sz="4" w:space="0" w:color="auto"/>
            </w:tcBorders>
            <w:shd w:val="clear" w:color="000000" w:fill="C6E0B4"/>
            <w:vAlign w:val="bottom"/>
            <w:hideMark/>
          </w:tcPr>
          <w:p w14:paraId="43333405"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c>
          <w:tcPr>
            <w:tcW w:w="1740" w:type="dxa"/>
            <w:tcBorders>
              <w:top w:val="nil"/>
              <w:left w:val="nil"/>
              <w:bottom w:val="single" w:sz="4" w:space="0" w:color="auto"/>
              <w:right w:val="single" w:sz="4" w:space="0" w:color="auto"/>
            </w:tcBorders>
            <w:shd w:val="clear" w:color="000000" w:fill="F8CBAD"/>
            <w:vAlign w:val="bottom"/>
            <w:hideMark/>
          </w:tcPr>
          <w:p w14:paraId="1E5F6B73"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c>
          <w:tcPr>
            <w:tcW w:w="1740" w:type="dxa"/>
            <w:tcBorders>
              <w:top w:val="nil"/>
              <w:left w:val="nil"/>
              <w:bottom w:val="single" w:sz="4" w:space="0" w:color="auto"/>
              <w:right w:val="single" w:sz="4" w:space="0" w:color="auto"/>
            </w:tcBorders>
            <w:shd w:val="clear" w:color="000000" w:fill="F8CBAD"/>
            <w:vAlign w:val="bottom"/>
            <w:hideMark/>
          </w:tcPr>
          <w:p w14:paraId="4DA9E721"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r>
    </w:tbl>
    <w:p w14:paraId="1E515372" w14:textId="0D98B932" w:rsidR="009511F2" w:rsidRPr="00312FAA" w:rsidRDefault="009871AE">
      <w:pPr>
        <w:spacing w:before="120" w:after="0" w:line="264" w:lineRule="auto"/>
      </w:pPr>
      <w:r w:rsidRPr="00312FAA">
        <w:t>Źródło: Opracowanie własn</w:t>
      </w:r>
      <w:bookmarkStart w:id="124" w:name="_Toc67141048"/>
      <w:bookmarkStart w:id="125" w:name="_Toc67307033"/>
      <w:r w:rsidR="005F3EC4" w:rsidRPr="00312FAA">
        <w:t>e</w:t>
      </w:r>
    </w:p>
    <w:p w14:paraId="4A5D1D90" w14:textId="146B27F0" w:rsidR="00612274" w:rsidRPr="000913E2" w:rsidRDefault="000913E2" w:rsidP="00612274">
      <w:pPr>
        <w:spacing w:before="120" w:after="0" w:line="264" w:lineRule="auto"/>
        <w:rPr>
          <w:sz w:val="24"/>
          <w:szCs w:val="24"/>
        </w:rPr>
      </w:pPr>
      <w:r w:rsidRPr="000913E2">
        <w:rPr>
          <w:sz w:val="24"/>
          <w:szCs w:val="24"/>
        </w:rPr>
        <w:t>W</w:t>
      </w:r>
      <w:r w:rsidR="00612274" w:rsidRPr="000913E2">
        <w:rPr>
          <w:sz w:val="24"/>
          <w:szCs w:val="24"/>
        </w:rPr>
        <w:t xml:space="preserve">skaźnik syntetyczny natężenia problemów gospodarczych </w:t>
      </w:r>
      <w:r w:rsidR="00612274" w:rsidRPr="000913E2">
        <w:rPr>
          <w:b/>
          <w:bCs/>
          <w:sz w:val="24"/>
          <w:szCs w:val="24"/>
        </w:rPr>
        <w:t>IMD gospodarcze</w:t>
      </w:r>
      <w:r w:rsidR="00612274" w:rsidRPr="000913E2">
        <w:rPr>
          <w:sz w:val="24"/>
          <w:szCs w:val="24"/>
        </w:rPr>
        <w:t xml:space="preserve"> dla jednostek gminy przyjmuje wartości od 2 do 7 przy średniej równej 4,0, co wskazuje, że stopień zróżnicowania ekonomicznego jest umiarkowany, ale z wyraźnymi „gorącymi punktami”. Najsłabszą sytuację ekonomiczną wykazuje </w:t>
      </w:r>
      <w:r w:rsidR="00612274" w:rsidRPr="000913E2">
        <w:rPr>
          <w:b/>
          <w:bCs/>
          <w:sz w:val="24"/>
          <w:szCs w:val="24"/>
        </w:rPr>
        <w:t>Osiedle nr 2</w:t>
      </w:r>
      <w:r w:rsidR="00612274" w:rsidRPr="000913E2">
        <w:rPr>
          <w:sz w:val="24"/>
          <w:szCs w:val="24"/>
        </w:rPr>
        <w:t xml:space="preserve"> (IMD = 7) oraz w mniejszym stopniu </w:t>
      </w:r>
      <w:r w:rsidR="00612274" w:rsidRPr="000913E2">
        <w:rPr>
          <w:b/>
          <w:bCs/>
          <w:sz w:val="24"/>
          <w:szCs w:val="24"/>
        </w:rPr>
        <w:t>Osiedle nr 1</w:t>
      </w:r>
      <w:r w:rsidR="00612274" w:rsidRPr="000913E2">
        <w:rPr>
          <w:sz w:val="24"/>
          <w:szCs w:val="24"/>
        </w:rPr>
        <w:t xml:space="preserve"> (IMD = 5); obie jednostki charakteryzują się jednocześnie relatywnie niską intensywnością nowych rejestracji i wyższą liczbą wykreśleń (rotacją firm), co sugeruje ograniczoną zdolność lokalnej gospodarki do tworzenia trwałych miejsc pracy. Przeciwnie, Osiedla o niskich wartościach IMD (np. </w:t>
      </w:r>
      <w:r w:rsidR="00612274" w:rsidRPr="000913E2">
        <w:rPr>
          <w:b/>
          <w:bCs/>
          <w:sz w:val="24"/>
          <w:szCs w:val="24"/>
        </w:rPr>
        <w:t xml:space="preserve">Osiedle nr 4, nr </w:t>
      </w:r>
      <w:r w:rsidR="00612274" w:rsidRPr="000913E2">
        <w:rPr>
          <w:b/>
          <w:bCs/>
          <w:sz w:val="24"/>
          <w:szCs w:val="24"/>
        </w:rPr>
        <w:lastRenderedPageBreak/>
        <w:t>5, nr 6</w:t>
      </w:r>
      <w:r w:rsidR="00612274" w:rsidRPr="000913E2">
        <w:rPr>
          <w:sz w:val="24"/>
          <w:szCs w:val="24"/>
        </w:rPr>
        <w:t xml:space="preserve"> z wartościami 2) wykazują wyższe wskaźniki nowych rejestracji na 100 mieszkańców i niskie wykreślenia, co interpretuje się jako symptomy większej przedsiębiorczości i lepszej dynamiki ekonomicznej.</w:t>
      </w:r>
    </w:p>
    <w:p w14:paraId="7143F4D3" w14:textId="77777777" w:rsidR="00612274" w:rsidRPr="00612274" w:rsidRDefault="00612274" w:rsidP="00612274">
      <w:pPr>
        <w:spacing w:before="120" w:after="0" w:line="264" w:lineRule="auto"/>
        <w:rPr>
          <w:sz w:val="24"/>
          <w:szCs w:val="24"/>
        </w:rPr>
      </w:pPr>
      <w:r w:rsidRPr="00612274">
        <w:rPr>
          <w:sz w:val="24"/>
          <w:szCs w:val="24"/>
        </w:rPr>
        <w:t xml:space="preserve">W części wiejskiej większość sołectw ma wartość IMD równą 4 (średnia), co oznacza stan umiarkowany — występują jednak pojedyncze wyjątki (np. </w:t>
      </w:r>
      <w:r w:rsidRPr="00612274">
        <w:rPr>
          <w:b/>
          <w:bCs/>
          <w:sz w:val="24"/>
          <w:szCs w:val="24"/>
        </w:rPr>
        <w:t>Nowe</w:t>
      </w:r>
      <w:r w:rsidRPr="00612274">
        <w:rPr>
          <w:sz w:val="24"/>
          <w:szCs w:val="24"/>
        </w:rPr>
        <w:t xml:space="preserve"> z IMD = 7 mimo relatywnie umiarkowanych wskaźników rejestracji), co wskazuje na lokalne różnice strukturalne i potrzebę pogłębionej, miejscowej diagnozy. Ogólna interpretacja: wysoki IMD gospodarczy koreluje z niską intensywnością zakładania firm i wyższą rotacją przedsiębiorstw, a niski IMD – z większą aktywnością rejestrową i stabilniejszą strukturą podmiotów.</w:t>
      </w:r>
    </w:p>
    <w:p w14:paraId="571448D9" w14:textId="600C6A02" w:rsidR="00612274" w:rsidRDefault="00612274" w:rsidP="00612274">
      <w:pPr>
        <w:spacing w:before="120" w:after="0" w:line="264" w:lineRule="auto"/>
        <w:rPr>
          <w:sz w:val="24"/>
          <w:szCs w:val="24"/>
        </w:rPr>
      </w:pPr>
      <w:r w:rsidRPr="00612274">
        <w:rPr>
          <w:sz w:val="24"/>
          <w:szCs w:val="24"/>
        </w:rPr>
        <w:t xml:space="preserve">Rekomendacje praktyczne wynikające z analizy są dwutorowe: po pierwsze, </w:t>
      </w:r>
      <w:r w:rsidRPr="00612274">
        <w:rPr>
          <w:b/>
          <w:bCs/>
          <w:sz w:val="24"/>
          <w:szCs w:val="24"/>
        </w:rPr>
        <w:t>priorytetowe działania stabilizujące i aktywizujące</w:t>
      </w:r>
      <w:r w:rsidRPr="00612274">
        <w:rPr>
          <w:sz w:val="24"/>
          <w:szCs w:val="24"/>
        </w:rPr>
        <w:t xml:space="preserve"> (programy wsparcia dla mikrofirm, doradztwo, mikropożyczki, programy przeżywalności firm) powinny trafić do jednostek o najwyższym IMD (przede wszystkim Osiedle nr 2 i Osiedle nr 1); po drugie, w jednostkach o niskim IMD warto skupić się na skalowaniu dobrych praktyk (wsparcie inkubacji, dostęp do przestrzeni biznesowej, ułatwienia administracyjne), aby utrzymać dynamikę. Na koniec należy podkreślić ograniczenia: IMD gospodarcze jest wskaźnikiem syntetycznym opartym m.in. na danych CEIDG, które przy małych pulach zdarzeń dają duże wahania — dlatego zaleca się weryfikację wyników administracyjnym rozbiciem CEIDG/REGON, analizę trendów wieloletnich oraz korelację z dodatkowymi wskaźnikami (bezrobocie, struktura zatrudnienia, przeciętne wynagrodzenie) przed ostatecznym priorytetyzowaniem środków.</w:t>
      </w:r>
    </w:p>
    <w:p w14:paraId="35F8684E" w14:textId="77777777" w:rsidR="00BF4FFC" w:rsidRDefault="009871AE" w:rsidP="003D2355">
      <w:pPr>
        <w:pStyle w:val="Nagwek2"/>
      </w:pPr>
      <w:bookmarkStart w:id="126" w:name="_Toc67141075"/>
      <w:bookmarkStart w:id="127" w:name="_Toc67307377"/>
      <w:bookmarkStart w:id="128" w:name="_Toc67310280"/>
      <w:bookmarkStart w:id="129" w:name="_Toc97015008"/>
      <w:bookmarkStart w:id="130" w:name="_Toc97100741"/>
      <w:bookmarkStart w:id="131" w:name="_Toc97364982"/>
      <w:bookmarkStart w:id="132" w:name="_Toc97365028"/>
      <w:bookmarkStart w:id="133" w:name="_Toc108591674"/>
      <w:bookmarkStart w:id="134" w:name="_Toc108592686"/>
      <w:bookmarkStart w:id="135" w:name="_Toc108592751"/>
      <w:bookmarkStart w:id="136" w:name="_Toc133584137"/>
      <w:bookmarkStart w:id="137" w:name="_Toc138666211"/>
      <w:bookmarkStart w:id="138" w:name="_Toc219271389"/>
      <w:bookmarkEnd w:id="124"/>
      <w:bookmarkEnd w:id="125"/>
      <w:r>
        <w:t>Analiza uwarunkowań środowiskowych</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0AE45251" w14:textId="2E836309" w:rsidR="00612274" w:rsidRPr="000913E2" w:rsidRDefault="009871AE" w:rsidP="00612274">
      <w:pPr>
        <w:pStyle w:val="Spisilustracji"/>
        <w:spacing w:before="120" w:line="264" w:lineRule="auto"/>
        <w:rPr>
          <w:rFonts w:cs="Calibri"/>
          <w:bCs/>
          <w:sz w:val="24"/>
          <w:szCs w:val="24"/>
        </w:rPr>
      </w:pPr>
      <w:bookmarkStart w:id="139" w:name="_Toc480831428"/>
      <w:bookmarkStart w:id="140" w:name="_Toc469878740"/>
      <w:bookmarkStart w:id="141" w:name="_Toc482369212"/>
      <w:r>
        <w:rPr>
          <w:rFonts w:cs="Calibri"/>
          <w:bCs/>
          <w:sz w:val="24"/>
          <w:szCs w:val="24"/>
        </w:rPr>
        <w:t xml:space="preserve">Zgodnie z przepisami ustawy o rewitalizacji kolejną przesłanką wyznaczenia obszaru zdegradowanego i obszaru rewitalizacji gminy jest natężenie problemów środowiskowych, w szczególności przekroczenia standardów jakości środowiska, obecności odpadów stwarzających zagrożenie </w:t>
      </w:r>
      <w:r w:rsidRPr="000913E2">
        <w:rPr>
          <w:rFonts w:cs="Calibri"/>
          <w:bCs/>
          <w:sz w:val="24"/>
          <w:szCs w:val="24"/>
        </w:rPr>
        <w:t xml:space="preserve">dla życia, zdrowia ludzi lub stanu środowiska. W celu analizy ww. uwarunkowań w pierwszej kolejności dokonano analizy obowiązujących w gminie dokumentów odnoszących się do sfery środowiskowej. </w:t>
      </w:r>
    </w:p>
    <w:p w14:paraId="5336DCE2" w14:textId="77777777" w:rsidR="00612274" w:rsidRPr="00612274" w:rsidRDefault="00612274" w:rsidP="00612274">
      <w:pPr>
        <w:spacing w:before="120" w:after="0" w:line="264" w:lineRule="auto"/>
        <w:rPr>
          <w:sz w:val="24"/>
          <w:szCs w:val="24"/>
        </w:rPr>
      </w:pPr>
      <w:r w:rsidRPr="00612274">
        <w:rPr>
          <w:sz w:val="24"/>
          <w:szCs w:val="24"/>
        </w:rPr>
        <w:t xml:space="preserve">Gmina Krośniewice ma wyraźnie rolniczy charakter przestrzenny i gospodarczy, zajmuje ok. 94,7 km², z wyraźnym podziałem miejskim i wiejskim (miasto – około 4,2 km², obszar wiejski – ok. 90,5 km²); znaczna część terenu (historycznie i wg dostępnych zestawień) to użytki rolne o wysokiej wartości użytkowej — ok. 80–90% powierzchni — przy bardzo niskiej lesistości (ok. 2–3 % powierzchni), co determinuje silne związanie funkcji gminy z produkcją rolną i stawia określone ograniczenia rozwojowe w zakresie przekształceń terenów i ochrony zasobów leśnych i bioróżnorodności. Jednocześnie w krajobrazie wyróżniają się parki podworskie, aleje i zespoły zabytkowe, które mają istotne znaczenie przyrodnicze i kulturowe oraz wymagają zachowania spójności krajobrazowej przy planowanych zmianach przestrzennych </w:t>
      </w:r>
    </w:p>
    <w:p w14:paraId="04605772" w14:textId="77777777" w:rsidR="00612274" w:rsidRPr="00612274" w:rsidRDefault="00612274" w:rsidP="00612274">
      <w:pPr>
        <w:spacing w:before="120" w:after="0" w:line="264" w:lineRule="auto"/>
        <w:rPr>
          <w:sz w:val="24"/>
          <w:szCs w:val="24"/>
        </w:rPr>
      </w:pPr>
      <w:r w:rsidRPr="00612274">
        <w:rPr>
          <w:sz w:val="24"/>
          <w:szCs w:val="24"/>
        </w:rPr>
        <w:t xml:space="preserve">Podstawowe uwarunkowania hydro-morfologiczne i wodne to doliny rzek Ochni i Miłonki, które pełnią funkcję korytarzy ekologicznych i lokalizacyjnych ograniczeń (obszary zalewowe i podtopień) — na tych obszarach obowiązuje szczególna ostrożność przy lokalizacji zabudowy. Gminę obejmują również Jednolite Części Wód Powierzchniowych i Podziemnych oraz fragment Głównego Zbiornika Wód Podziemnych (GZWP nr 226 Krośniewice-Kutno), co podkreśla znaczenie ochrony zasobów wodnych i konieczność ścisłego gospodarowania wywiertami i ochroną stref ujęć. Monitoring stanu wód wskazuje na niekorzystny stan jakościowy wód powierzchniowych (badania 2017–2021) oraz na </w:t>
      </w:r>
      <w:r w:rsidRPr="00612274">
        <w:rPr>
          <w:sz w:val="24"/>
          <w:szCs w:val="24"/>
        </w:rPr>
        <w:lastRenderedPageBreak/>
        <w:t xml:space="preserve">lokalne problemy ilościowe i deficyt retencji — stąd rekomendacje dotyczące małej retencji i ograniczania odprowadzania wód opadowych bez retencji lokalnej </w:t>
      </w:r>
    </w:p>
    <w:p w14:paraId="37E84B82" w14:textId="77777777" w:rsidR="00612274" w:rsidRPr="00612274" w:rsidRDefault="00612274" w:rsidP="00612274">
      <w:pPr>
        <w:spacing w:before="120" w:after="0" w:line="264" w:lineRule="auto"/>
        <w:rPr>
          <w:sz w:val="24"/>
          <w:szCs w:val="24"/>
        </w:rPr>
      </w:pPr>
      <w:r w:rsidRPr="00612274">
        <w:rPr>
          <w:sz w:val="24"/>
          <w:szCs w:val="24"/>
        </w:rPr>
        <w:t xml:space="preserve">Jakość powietrza i źródła emisji stanowią drugi kluczowy obszar problemowy. Roczne oceny jakości powietrza wykazały przekroczenia kryteriów (m.in. ozonowych) oraz wskazały na dominujący wkład lokalnych emisji z indywidualnych kotłowni (węgiel, olej opałowy, częściowo biomasa). Brak rozbudowanej sieci gazowej oraz niedostateczna kanalizacja sanitarna w niektórych miejscach potęgują presję emisji i wpływają na pogorszenie parametrów środowiskowych; w odpowiedzi gmina prowadzi programy termomodernizacji i instrumenty doradcze (m.in. punkt „Czyste Powietrze”) oraz inwestycje w kanalizację i modernizację oczyszczalni ścieków </w:t>
      </w:r>
    </w:p>
    <w:p w14:paraId="13B26CBB" w14:textId="5FD95B80" w:rsidR="00612274" w:rsidRPr="00612274" w:rsidRDefault="00612274" w:rsidP="00612274">
      <w:pPr>
        <w:spacing w:before="120" w:after="0" w:line="264" w:lineRule="auto"/>
        <w:rPr>
          <w:sz w:val="24"/>
          <w:szCs w:val="24"/>
        </w:rPr>
      </w:pPr>
      <w:r w:rsidRPr="00612274">
        <w:rPr>
          <w:sz w:val="24"/>
          <w:szCs w:val="24"/>
        </w:rPr>
        <w:t>Do istotnych uwarunkowań antropogenicznych należą ponadlokalne ciągi techniczne i komunikacyjne przebiegające przez gminę: dwie drogi krajowe tworzące obwodnicę Krośniewic (</w:t>
      </w:r>
      <w:r w:rsidR="00563FE5">
        <w:rPr>
          <w:sz w:val="24"/>
          <w:szCs w:val="24"/>
        </w:rPr>
        <w:t xml:space="preserve">DK </w:t>
      </w:r>
      <w:r w:rsidRPr="00612274">
        <w:rPr>
          <w:sz w:val="24"/>
          <w:szCs w:val="24"/>
        </w:rPr>
        <w:t xml:space="preserve">91 i </w:t>
      </w:r>
      <w:r w:rsidR="00563FE5">
        <w:rPr>
          <w:sz w:val="24"/>
          <w:szCs w:val="24"/>
        </w:rPr>
        <w:t>DK</w:t>
      </w:r>
      <w:r w:rsidRPr="00612274">
        <w:rPr>
          <w:sz w:val="24"/>
          <w:szCs w:val="24"/>
        </w:rPr>
        <w:t xml:space="preserve"> 92), magistralna linia kolejowa E20 (Poznań–Kutno–Warszawa), rurociąg paliwowy oraz linie przesyłowe 220 </w:t>
      </w:r>
      <w:proofErr w:type="spellStart"/>
      <w:r w:rsidRPr="00612274">
        <w:rPr>
          <w:sz w:val="24"/>
          <w:szCs w:val="24"/>
        </w:rPr>
        <w:t>kV</w:t>
      </w:r>
      <w:proofErr w:type="spellEnd"/>
      <w:r w:rsidRPr="00612274">
        <w:rPr>
          <w:sz w:val="24"/>
          <w:szCs w:val="24"/>
        </w:rPr>
        <w:t xml:space="preserve"> i 110 </w:t>
      </w:r>
      <w:proofErr w:type="spellStart"/>
      <w:r w:rsidRPr="00612274">
        <w:rPr>
          <w:sz w:val="24"/>
          <w:szCs w:val="24"/>
        </w:rPr>
        <w:t>kV</w:t>
      </w:r>
      <w:proofErr w:type="spellEnd"/>
      <w:r w:rsidRPr="00612274">
        <w:rPr>
          <w:sz w:val="24"/>
          <w:szCs w:val="24"/>
        </w:rPr>
        <w:t xml:space="preserve">. Tego typu infrastruktura zwiększa atrakcyjność inwestycyjną i dostępność, ale jednocześnie stwarza ograniczenia planistyczne (strefy ochronne, hałas, ryzyko awarii) oraz presję na krajobraz i przyrodę. Dodatkowym zagrożeniem jest składowisko odpadów komunalnych we Frankach oraz punkty potencjalnie uciążliwe — to wymaga kontynuacji rekultywacji, poprawy gospodarki odpadami i ścisłego nadzoru środowiskowego </w:t>
      </w:r>
    </w:p>
    <w:p w14:paraId="370E53DC" w14:textId="77777777" w:rsidR="00612274" w:rsidRPr="00612274" w:rsidRDefault="00612274" w:rsidP="00612274">
      <w:pPr>
        <w:spacing w:before="120" w:after="0" w:line="264" w:lineRule="auto"/>
        <w:rPr>
          <w:sz w:val="24"/>
          <w:szCs w:val="24"/>
        </w:rPr>
      </w:pPr>
      <w:r w:rsidRPr="00612274">
        <w:rPr>
          <w:sz w:val="24"/>
          <w:szCs w:val="24"/>
        </w:rPr>
        <w:t xml:space="preserve">W zakresie zasobów przyrodniczych i ochrony przyrody gmina dysponuje ograniczoną liczbą form prawnej ochrony (m.in. pojedynczy pomnik przyrody – lipa w Głaznowie, korytarze ekologiczne dolin rzecznych, lokalne obszary zieleni i parki podworskie). Zintegrowana ochrona tych przestrzeni oraz rozwój zielonej infrastruktury (zalesienia, zwiększenie retencji, ochrona dolin rzecznych) są kluczowe dla zachowania funkcji przyrodniczych i łagodzenia skutków zmian klimatu. Należy też zachować najlepsze grunty rolne (klasy bonitacyjne II–IV) przed niekontrolowaną urbanizacją, aby nie utracić wartościowego potencjału produkcyjnego regionu </w:t>
      </w:r>
    </w:p>
    <w:p w14:paraId="61FFBD84" w14:textId="77777777" w:rsidR="000913E2" w:rsidRDefault="00612274" w:rsidP="000913E2">
      <w:pPr>
        <w:spacing w:before="120" w:after="0" w:line="264" w:lineRule="auto"/>
        <w:rPr>
          <w:sz w:val="24"/>
          <w:szCs w:val="24"/>
        </w:rPr>
      </w:pPr>
      <w:r w:rsidRPr="000913E2">
        <w:rPr>
          <w:sz w:val="24"/>
          <w:szCs w:val="24"/>
        </w:rPr>
        <w:t>U</w:t>
      </w:r>
      <w:r w:rsidRPr="00612274">
        <w:rPr>
          <w:sz w:val="24"/>
          <w:szCs w:val="24"/>
        </w:rPr>
        <w:t xml:space="preserve">warunkowania środowiskowe gminy Krośniewice tworzą jednocześnie </w:t>
      </w:r>
      <w:r w:rsidRPr="00612274">
        <w:rPr>
          <w:b/>
          <w:bCs/>
          <w:sz w:val="24"/>
          <w:szCs w:val="24"/>
        </w:rPr>
        <w:t>potencjały</w:t>
      </w:r>
      <w:r w:rsidRPr="00612274">
        <w:rPr>
          <w:sz w:val="24"/>
          <w:szCs w:val="24"/>
        </w:rPr>
        <w:t xml:space="preserve"> (wartościowe gleby rolne, korzystne położenie komunikacyjne, korytarze rzeczne, zasoby wodne podziemne i geotermalne, walory kulturowe) oraz </w:t>
      </w:r>
      <w:r w:rsidRPr="00612274">
        <w:rPr>
          <w:b/>
          <w:bCs/>
          <w:sz w:val="24"/>
          <w:szCs w:val="24"/>
        </w:rPr>
        <w:t>ograniczenia</w:t>
      </w:r>
      <w:r w:rsidRPr="00612274">
        <w:rPr>
          <w:sz w:val="24"/>
          <w:szCs w:val="24"/>
        </w:rPr>
        <w:t xml:space="preserve"> (niska lesistość, zły stan jakości wód powierzchniowych, deficyt retencji, lokalne ryzyka powodziowe, emisje z ogrzewania indywidualnego, obecność składowiska odpadów, presja infrastrukturalna). Z tego względu polityka przestrzenna i środowiskowa powinna łączyć ochronę wartości przyrodniczych (doliny rzeczne, GZWP, gleby), działania adaptacyjne (mała retencja, zalesienia, modernizacja oczyszczalni), ograniczanie emisji punktowych i rozproszonych (programy termomodernizacji, rozbudowa kanalizacji), a także ścisłe reguły lokalizacyjne tam, gdzie występują strefy ochrony infrastruktury liniowej i strefy zagrożenia powodziowego. Takie podejście pozwoli pogodzić rozwój inwestycyjny z koniecznością zachowania środowiska naturalnego i jakości życia mieszkańców</w:t>
      </w:r>
      <w:r w:rsidR="000913E2">
        <w:rPr>
          <w:sz w:val="24"/>
          <w:szCs w:val="24"/>
        </w:rPr>
        <w:t xml:space="preserve">. </w:t>
      </w:r>
    </w:p>
    <w:p w14:paraId="6E09D81F" w14:textId="096C89BD" w:rsidR="00612274" w:rsidRDefault="000913E2" w:rsidP="008B72DC">
      <w:pPr>
        <w:spacing w:before="120" w:after="0" w:line="264" w:lineRule="auto"/>
        <w:rPr>
          <w:sz w:val="24"/>
          <w:szCs w:val="24"/>
        </w:rPr>
      </w:pPr>
      <w:r>
        <w:rPr>
          <w:sz w:val="24"/>
          <w:szCs w:val="24"/>
        </w:rPr>
        <w:t>Na potrzeby analizy wskaźnikowej przyjęto ocenę d</w:t>
      </w:r>
      <w:r w:rsidRPr="000913E2">
        <w:rPr>
          <w:sz w:val="24"/>
          <w:szCs w:val="24"/>
        </w:rPr>
        <w:t>wóch wskaźników dla sfery środowiskowej Gminy Krośniewice:</w:t>
      </w:r>
      <w:r>
        <w:rPr>
          <w:sz w:val="24"/>
          <w:szCs w:val="24"/>
        </w:rPr>
        <w:t xml:space="preserve"> </w:t>
      </w:r>
      <w:r w:rsidRPr="000913E2">
        <w:rPr>
          <w:sz w:val="24"/>
          <w:szCs w:val="24"/>
        </w:rPr>
        <w:t>Wskaźnik przekroczenia standardów jakości powietrza (skala 1–3)</w:t>
      </w:r>
      <w:r>
        <w:rPr>
          <w:rStyle w:val="Odwoanieprzypisudolnego"/>
          <w:sz w:val="24"/>
          <w:szCs w:val="24"/>
        </w:rPr>
        <w:footnoteReference w:id="26"/>
      </w:r>
      <w:r w:rsidRPr="000913E2">
        <w:rPr>
          <w:sz w:val="24"/>
          <w:szCs w:val="24"/>
        </w:rPr>
        <w:t xml:space="preserve"> oraz</w:t>
      </w:r>
      <w:r>
        <w:rPr>
          <w:sz w:val="24"/>
          <w:szCs w:val="24"/>
        </w:rPr>
        <w:t xml:space="preserve"> </w:t>
      </w:r>
      <w:r w:rsidRPr="000913E2">
        <w:rPr>
          <w:sz w:val="24"/>
          <w:szCs w:val="24"/>
        </w:rPr>
        <w:t>Liczba kotłów do wymiany (kotły klasy 3 i pozaklasowe) na 100 mieszkańców.</w:t>
      </w:r>
      <w:r>
        <w:rPr>
          <w:sz w:val="24"/>
          <w:szCs w:val="24"/>
        </w:rPr>
        <w:t xml:space="preserve"> </w:t>
      </w:r>
      <w:r w:rsidRPr="000913E2">
        <w:rPr>
          <w:sz w:val="24"/>
          <w:szCs w:val="24"/>
        </w:rPr>
        <w:t>Wszystkie obliczenia wykona</w:t>
      </w:r>
      <w:r>
        <w:rPr>
          <w:sz w:val="24"/>
          <w:szCs w:val="24"/>
        </w:rPr>
        <w:t>no</w:t>
      </w:r>
      <w:r w:rsidRPr="000913E2">
        <w:rPr>
          <w:sz w:val="24"/>
          <w:szCs w:val="24"/>
        </w:rPr>
        <w:t xml:space="preserve"> na podstawie: (a) danych o liczbie mieszkańców jednostek urbanistycznych używanych w diagnozie (stan 2024) oraz (b) danych z UM Krośniewice: liczba kotłów do wymiany = 1 100 kotłów (stan na </w:t>
      </w:r>
      <w:r w:rsidRPr="000913E2">
        <w:rPr>
          <w:sz w:val="24"/>
          <w:szCs w:val="24"/>
        </w:rPr>
        <w:lastRenderedPageBreak/>
        <w:t>31.12.2024)</w:t>
      </w:r>
      <w:r w:rsidR="008B72DC">
        <w:rPr>
          <w:sz w:val="24"/>
          <w:szCs w:val="24"/>
        </w:rPr>
        <w:t xml:space="preserve">. </w:t>
      </w:r>
      <w:r w:rsidRPr="000913E2">
        <w:rPr>
          <w:sz w:val="24"/>
          <w:szCs w:val="24"/>
        </w:rPr>
        <w:t>Wstępne uwarunkowania jakości powietrza oparte są na diagnozie gminnej i Studium uwarunkowań i kierunków zagospodarowania przestrzennego</w:t>
      </w:r>
      <w:r>
        <w:rPr>
          <w:sz w:val="24"/>
          <w:szCs w:val="24"/>
        </w:rPr>
        <w:t xml:space="preserve"> </w:t>
      </w:r>
      <w:r w:rsidRPr="000913E2">
        <w:rPr>
          <w:sz w:val="24"/>
          <w:szCs w:val="24"/>
        </w:rPr>
        <w:t>gminy Krośniewice</w:t>
      </w:r>
      <w:r>
        <w:rPr>
          <w:rStyle w:val="Odwoanieprzypisudolnego"/>
          <w:sz w:val="24"/>
          <w:szCs w:val="24"/>
        </w:rPr>
        <w:footnoteReference w:id="27"/>
      </w:r>
      <w:r>
        <w:rPr>
          <w:sz w:val="24"/>
          <w:szCs w:val="24"/>
        </w:rPr>
        <w:t xml:space="preserve"> </w:t>
      </w:r>
      <w:r w:rsidRPr="000913E2">
        <w:rPr>
          <w:sz w:val="24"/>
          <w:szCs w:val="24"/>
        </w:rPr>
        <w:t>(opis źródeł emisji: niskie emisje komunalne, ruch drogowy przy DK91/DK92 itp.)</w:t>
      </w:r>
      <w:r w:rsidR="008B72DC">
        <w:rPr>
          <w:sz w:val="24"/>
          <w:szCs w:val="24"/>
        </w:rPr>
        <w:t>.</w:t>
      </w:r>
      <w:r w:rsidR="008B72DC" w:rsidRPr="008B72DC">
        <w:t xml:space="preserve"> </w:t>
      </w:r>
      <w:r w:rsidR="008B72DC" w:rsidRPr="008B72DC">
        <w:rPr>
          <w:sz w:val="24"/>
          <w:szCs w:val="24"/>
        </w:rPr>
        <w:t>Dane pomiarowe strefowe (raporty wojewódzkie) pokazują zakres problemów w strefie łódzkiej (np. przekroczenia PM10/PM2,5, ozon). Jednak diagnoza wymaga lokalnej (jednostkowej) klasyfikacji 1–3. Ponieważ nie dysponujemy rozbiciem bezpośrednich pomiarów stężeń dla każdego osiedla/sołectwa, przyjęto prostą, przejrzystą regułę estymacji opartą na dwóch, dobrze udokumentowanych determinantach jakości powietrza: (A) gęstość źródeł niskiej emisji (wyrażona liczbą kotłów do wymiany na 100 mieszkańców) oraz (B) lokalna ekspozycja na ruch i źródła liniowe (obecność dróg krajowych/przebiegu ruchu tranzytowego, którą odwzorowano przez podział miasta/ wsi i przez specjalne podwyższenie w miastach przy głównych ciągach).</w:t>
      </w:r>
    </w:p>
    <w:p w14:paraId="5CAAA68F" w14:textId="625BF254" w:rsidR="000969ED" w:rsidRDefault="000969ED" w:rsidP="008B72DC">
      <w:pPr>
        <w:spacing w:before="120" w:after="0" w:line="264" w:lineRule="auto"/>
        <w:rPr>
          <w:sz w:val="24"/>
          <w:szCs w:val="24"/>
        </w:rPr>
      </w:pPr>
      <w:r w:rsidRPr="000969ED">
        <w:rPr>
          <w:sz w:val="24"/>
          <w:szCs w:val="24"/>
        </w:rPr>
        <w:t xml:space="preserve">Na terenie gminy Krośniewice, w miejscowości </w:t>
      </w:r>
      <w:r w:rsidRPr="000969ED">
        <w:rPr>
          <w:b/>
          <w:bCs/>
          <w:sz w:val="24"/>
          <w:szCs w:val="24"/>
        </w:rPr>
        <w:t>Franki</w:t>
      </w:r>
      <w:r w:rsidRPr="000969ED">
        <w:rPr>
          <w:sz w:val="24"/>
          <w:szCs w:val="24"/>
        </w:rPr>
        <w:t xml:space="preserve">, znajduje się </w:t>
      </w:r>
      <w:r w:rsidRPr="000969ED">
        <w:rPr>
          <w:b/>
          <w:bCs/>
          <w:sz w:val="24"/>
          <w:szCs w:val="24"/>
        </w:rPr>
        <w:t>składowisko odpadów komunalnych</w:t>
      </w:r>
      <w:r w:rsidRPr="000969ED">
        <w:rPr>
          <w:sz w:val="24"/>
          <w:szCs w:val="24"/>
        </w:rPr>
        <w:t xml:space="preserve"> będące oficjalnym miejscem unieszkodliwiania odpadów komunalnych dla gminy. Dokumenty gminne traktują obiekt jako element systemu gospodarki odpadami i wskazują, że w rejonie funkcjonują również dwa Punkty Selektywnej Zbiórki Odpadów Komunalnych (PSZOK). W dokumentach z lat 2020–2022 składowisko jest opisywane jako obiekt aktywny i wykorzystywany w cyklu gospodarowania odpadami gminy; nie zgłaszano w tych dokumentach występowania „dzikich wysypisk” wymagających interwencji w 2021 r.</w:t>
      </w:r>
      <w:r w:rsidRPr="000969ED">
        <w:t xml:space="preserve"> </w:t>
      </w:r>
      <w:r w:rsidRPr="000969ED">
        <w:rPr>
          <w:sz w:val="24"/>
          <w:szCs w:val="24"/>
        </w:rPr>
        <w:t>Składowisko we Frankach posiada instalacje zbierania i wykorzystania biogazu: w miejscu wybudowano studnie odgazowujące połączone systemem kolektorów i stacją zbiorczą gazu. Zebrany biogaz jest przesyłany do stacji dmuchaw, sprężany i zasilający agregat prądotwórczy (silniki spalinowe). W dokumentach gminnych opisano, że instalacja ta zasila agregat o mocy zbliżonej do 0,716–0,75 MW, a wyprodukowana energia elektryczna jest oddawana do sieci przez stację transformatorową. To oznacza, że składowisko jest eksploatowane w układzie z odzyskiem energii (wykorzystanie biogazu), co zmniejsza emisję metanu do atmosfery i daje gminie zdolność uzyskania energii odpadowej (biogaz → prąd)</w:t>
      </w:r>
      <w:r>
        <w:rPr>
          <w:sz w:val="24"/>
          <w:szCs w:val="24"/>
        </w:rPr>
        <w:t>.</w:t>
      </w:r>
    </w:p>
    <w:p w14:paraId="32DADBDE" w14:textId="12CF1592" w:rsidR="000969ED" w:rsidRPr="000969ED" w:rsidRDefault="000969ED" w:rsidP="000969ED">
      <w:pPr>
        <w:spacing w:before="120" w:after="0" w:line="264" w:lineRule="auto"/>
        <w:rPr>
          <w:sz w:val="24"/>
          <w:szCs w:val="24"/>
        </w:rPr>
      </w:pPr>
      <w:r w:rsidRPr="000969ED">
        <w:rPr>
          <w:sz w:val="24"/>
          <w:szCs w:val="24"/>
        </w:rPr>
        <w:t>Składowisko we Frankach jest eksploatowane i wyposażone w instalację odgazowania oraz agregat wykorzystujący biogaz, co jest dobrą wiadomością — dzięki temu znaczna część gazów powstających przy rozkładzie odpadów jest odzyskiwana i wykorzystywana do produkcji energii, a emisje metanu są ograniczane. Przy prawidłowej eksploatacji i regularnym serwisie systemu odgazowania wpływ składowiska na jakość powietrza jest ograniczony, choć czasami mogą pojawiać się przejściowe zapachy lub lokalne uciążliwości — zwłaszcza przy niekorzystnych warunkach pogodowych lub zwiększonym ruchu pojazdów ciężkich. W połączeniu z innymi źródłami lokalnej emisji (głównie indywidualne paleniska w zabudowie jednorodzinnej) składowisko może zwiększać presję na jakość powietrza w niektórych porach roku, ale gmina prowadzi działania łagodzące (monitoring, strefy zieleni izolacyjnej, programy wymiany kotłów i termomodernizacji).</w:t>
      </w:r>
    </w:p>
    <w:p w14:paraId="67739CF5" w14:textId="1131A540" w:rsidR="000969ED" w:rsidRDefault="000969ED" w:rsidP="000969ED">
      <w:pPr>
        <w:spacing w:before="120" w:after="0" w:line="264" w:lineRule="auto"/>
        <w:rPr>
          <w:sz w:val="24"/>
          <w:szCs w:val="24"/>
        </w:rPr>
      </w:pPr>
      <w:r w:rsidRPr="000969ED">
        <w:rPr>
          <w:sz w:val="24"/>
          <w:szCs w:val="24"/>
        </w:rPr>
        <w:t xml:space="preserve">Dla mieszkańców najważniejsze jest to, że składowisko daje też korzyści — produkcję energii z biogazu oraz kontrolę nad odprowadzeniem i utylizacją odpadów — a wszelkie uciążliwości można minimalizować przez dobre zarządzanie obiektem i współpracę społeczności (zgłaszanie uporczywych zapachów, udział w programach wymiany pieców). Gmina i operator składowiska są zobowiązani do prowadzenia nadzoru środowiskowego i bezpieczeństwa, więc jeżeli pojawią się niepokojące objawy (silne, długotrwałe </w:t>
      </w:r>
      <w:proofErr w:type="spellStart"/>
      <w:r w:rsidRPr="000969ED">
        <w:rPr>
          <w:sz w:val="24"/>
          <w:szCs w:val="24"/>
        </w:rPr>
        <w:t>odorowanie</w:t>
      </w:r>
      <w:proofErr w:type="spellEnd"/>
      <w:r w:rsidRPr="000969ED">
        <w:rPr>
          <w:sz w:val="24"/>
          <w:szCs w:val="24"/>
        </w:rPr>
        <w:t xml:space="preserve">, dym, itp.) warto zgłosić to do urzędu — pozwoli to na szybką </w:t>
      </w:r>
      <w:r w:rsidRPr="000969ED">
        <w:rPr>
          <w:sz w:val="24"/>
          <w:szCs w:val="24"/>
        </w:rPr>
        <w:lastRenderedPageBreak/>
        <w:t>interwencję i wyjaśnienie przyczyn. Ogólnie rzecz biorąc, przy istniejących zabezpieczeniach i planowanych działaniach prośrodowiskowych wpływ składowiska na zdrowie mieszkańców oceniany jest jako kontrolowany, a równoczesne programy poprawy jakości powietrza mają na celu dalsze ograniczenie uciążliwości</w:t>
      </w:r>
    </w:p>
    <w:p w14:paraId="7F0B8465" w14:textId="20E08939" w:rsidR="008B72DC" w:rsidRPr="008B72DC" w:rsidRDefault="008B72DC" w:rsidP="008B72DC">
      <w:pPr>
        <w:spacing w:before="120" w:after="0" w:line="264" w:lineRule="auto"/>
        <w:rPr>
          <w:sz w:val="24"/>
          <w:szCs w:val="24"/>
        </w:rPr>
      </w:pPr>
      <w:r>
        <w:rPr>
          <w:sz w:val="24"/>
          <w:szCs w:val="24"/>
        </w:rPr>
        <w:t>Analiza</w:t>
      </w:r>
      <w:r w:rsidR="000969ED">
        <w:rPr>
          <w:sz w:val="24"/>
          <w:szCs w:val="24"/>
        </w:rPr>
        <w:t xml:space="preserve"> danych wskaźnikowych odnoszących się do sfery środowiskowej</w:t>
      </w:r>
      <w:r>
        <w:rPr>
          <w:sz w:val="24"/>
          <w:szCs w:val="24"/>
        </w:rPr>
        <w:t xml:space="preserve"> pokazała, na </w:t>
      </w:r>
      <w:r>
        <w:rPr>
          <w:b/>
          <w:bCs/>
          <w:sz w:val="24"/>
          <w:szCs w:val="24"/>
        </w:rPr>
        <w:t>w</w:t>
      </w:r>
      <w:r w:rsidRPr="008B72DC">
        <w:rPr>
          <w:b/>
          <w:bCs/>
          <w:sz w:val="24"/>
          <w:szCs w:val="24"/>
        </w:rPr>
        <w:t>yraźny podział miasto ↔ wieś.</w:t>
      </w:r>
      <w:r w:rsidRPr="008B72DC">
        <w:rPr>
          <w:sz w:val="24"/>
          <w:szCs w:val="24"/>
        </w:rPr>
        <w:t xml:space="preserve"> Według zaproponowanej i jawnie opisanej metody, obszar miejski (Osiedla 1–6) ma znacznie niższy udział kotłów przeznaczonych do wymiany na 100 mieszkańców (~8,6–8,9/100) w porównaniu z obszarami wiejskimi (~20–21/100). W praktyce oznacza to, że problem niskiej emisji (i związane z nią przekroczenia standardów jakości powietrza) jest </w:t>
      </w:r>
      <w:r w:rsidRPr="008B72DC">
        <w:rPr>
          <w:b/>
          <w:bCs/>
          <w:sz w:val="24"/>
          <w:szCs w:val="24"/>
        </w:rPr>
        <w:t>silniej skoncentrowany na obszarach wiejskich</w:t>
      </w:r>
      <w:r w:rsidRPr="008B72DC">
        <w:rPr>
          <w:sz w:val="24"/>
          <w:szCs w:val="24"/>
        </w:rPr>
        <w:t>.</w:t>
      </w:r>
    </w:p>
    <w:p w14:paraId="77E3073B" w14:textId="5F30267E" w:rsidR="008B72DC" w:rsidRPr="008B72DC" w:rsidRDefault="008B72DC" w:rsidP="008B72DC">
      <w:pPr>
        <w:spacing w:before="120" w:after="0" w:line="264" w:lineRule="auto"/>
        <w:rPr>
          <w:sz w:val="24"/>
          <w:szCs w:val="24"/>
        </w:rPr>
      </w:pPr>
      <w:r>
        <w:rPr>
          <w:sz w:val="24"/>
          <w:szCs w:val="24"/>
        </w:rPr>
        <w:t>Kolejnym wnioskiem analitycznym jest</w:t>
      </w:r>
      <w:r w:rsidRPr="008B72DC">
        <w:rPr>
          <w:sz w:val="24"/>
          <w:szCs w:val="24"/>
        </w:rPr>
        <w:t xml:space="preserve"> </w:t>
      </w:r>
      <w:r>
        <w:rPr>
          <w:sz w:val="24"/>
          <w:szCs w:val="24"/>
        </w:rPr>
        <w:t xml:space="preserve">identyfikacja obszarów z </w:t>
      </w:r>
      <w:r>
        <w:rPr>
          <w:b/>
          <w:bCs/>
          <w:sz w:val="24"/>
          <w:szCs w:val="24"/>
        </w:rPr>
        <w:t>p</w:t>
      </w:r>
      <w:r w:rsidRPr="008B72DC">
        <w:rPr>
          <w:b/>
          <w:bCs/>
          <w:sz w:val="24"/>
          <w:szCs w:val="24"/>
        </w:rPr>
        <w:t>rzekroczeni</w:t>
      </w:r>
      <w:r>
        <w:rPr>
          <w:b/>
          <w:bCs/>
          <w:sz w:val="24"/>
          <w:szCs w:val="24"/>
        </w:rPr>
        <w:t>em</w:t>
      </w:r>
      <w:r w:rsidRPr="008B72DC">
        <w:rPr>
          <w:b/>
          <w:bCs/>
          <w:sz w:val="24"/>
          <w:szCs w:val="24"/>
        </w:rPr>
        <w:t xml:space="preserve"> standardów jakości powietrza.</w:t>
      </w:r>
      <w:r w:rsidRPr="008B72DC">
        <w:rPr>
          <w:sz w:val="24"/>
          <w:szCs w:val="24"/>
        </w:rPr>
        <w:t xml:space="preserve"> Przyjęte progi prowadzą do klasyfikacji większości sołectw jako </w:t>
      </w:r>
      <w:r w:rsidRPr="008B72DC">
        <w:rPr>
          <w:b/>
          <w:bCs/>
          <w:sz w:val="24"/>
          <w:szCs w:val="24"/>
        </w:rPr>
        <w:t>klasa 3 (wysokie ryzyko/przekroczenia)</w:t>
      </w:r>
      <w:r w:rsidRPr="008B72DC">
        <w:rPr>
          <w:sz w:val="24"/>
          <w:szCs w:val="24"/>
        </w:rPr>
        <w:t xml:space="preserve">, natomiast osiedla miejskie – generalnie klasa 1 (dobra) z wyjątkiem </w:t>
      </w:r>
      <w:r w:rsidRPr="008B72DC">
        <w:rPr>
          <w:b/>
          <w:bCs/>
          <w:sz w:val="24"/>
          <w:szCs w:val="24"/>
        </w:rPr>
        <w:t>Osiedla nr 2</w:t>
      </w:r>
      <w:r w:rsidRPr="008B72DC">
        <w:rPr>
          <w:sz w:val="24"/>
          <w:szCs w:val="24"/>
        </w:rPr>
        <w:t xml:space="preserve">, które wskazałem jako </w:t>
      </w:r>
      <w:r w:rsidRPr="008B72DC">
        <w:rPr>
          <w:b/>
          <w:bCs/>
          <w:sz w:val="24"/>
          <w:szCs w:val="24"/>
        </w:rPr>
        <w:t>klasa 2</w:t>
      </w:r>
      <w:r w:rsidRPr="008B72DC">
        <w:rPr>
          <w:sz w:val="24"/>
          <w:szCs w:val="24"/>
        </w:rPr>
        <w:t xml:space="preserve"> z uwagi na dodatkową ekspozycję na ruch drogowy (DK91/DK92). To wskazuje, że działania ograniczające niską emisję powinny być </w:t>
      </w:r>
      <w:r w:rsidRPr="008B72DC">
        <w:rPr>
          <w:b/>
          <w:bCs/>
          <w:sz w:val="24"/>
          <w:szCs w:val="24"/>
        </w:rPr>
        <w:t>zintensyfikowane na obszarach wiejskich</w:t>
      </w:r>
      <w:r w:rsidRPr="008B72DC">
        <w:rPr>
          <w:sz w:val="24"/>
          <w:szCs w:val="24"/>
        </w:rPr>
        <w:t>.</w:t>
      </w:r>
    </w:p>
    <w:p w14:paraId="78269781" w14:textId="5903B187" w:rsidR="008B72DC" w:rsidRDefault="008B72DC" w:rsidP="008B72DC">
      <w:pPr>
        <w:spacing w:before="120" w:after="0" w:line="264" w:lineRule="auto"/>
        <w:rPr>
          <w:sz w:val="24"/>
          <w:szCs w:val="24"/>
        </w:rPr>
      </w:pPr>
      <w:r>
        <w:rPr>
          <w:sz w:val="24"/>
          <w:szCs w:val="24"/>
        </w:rPr>
        <w:t xml:space="preserve">Następnym wnioskiem z analizy wskaźników „środowiskowych” jest </w:t>
      </w:r>
      <w:r>
        <w:rPr>
          <w:b/>
          <w:bCs/>
          <w:sz w:val="24"/>
          <w:szCs w:val="24"/>
        </w:rPr>
        <w:t>p</w:t>
      </w:r>
      <w:r w:rsidRPr="008B72DC">
        <w:rPr>
          <w:b/>
          <w:bCs/>
          <w:sz w:val="24"/>
          <w:szCs w:val="24"/>
        </w:rPr>
        <w:t>rzestrzenna korelacja z innymi wskaźnikami.</w:t>
      </w:r>
      <w:r w:rsidRPr="008B72DC">
        <w:rPr>
          <w:sz w:val="24"/>
          <w:szCs w:val="24"/>
        </w:rPr>
        <w:t xml:space="preserve"> Wynik ten koreluje logicznie z obserwacjami z Diagnozy: dominacja indywidualnych źródeł ciepła w zabudowie jednorodzinnej, niedostateczny zasięg sieci gazowej i częściowo brak skanalizowania, a także mniejsza zdolność finansowa części mieszkańców (uniemożliwiająca szybką wymianę kotłów) — elementy te powodują kumulację problemu na wsi. Dodatkowo, w miejscach o dużym ruchu tranzytowym (północna część gminy, obwodnica) może dochodzić do pogorszenia jakości powietrza niezależnie od kotłów</w:t>
      </w:r>
      <w:r>
        <w:rPr>
          <w:sz w:val="24"/>
          <w:szCs w:val="24"/>
        </w:rPr>
        <w:t xml:space="preserve">. </w:t>
      </w:r>
    </w:p>
    <w:p w14:paraId="22376673" w14:textId="72954E35" w:rsidR="00612274" w:rsidRDefault="008B72DC" w:rsidP="008B72DC">
      <w:pPr>
        <w:spacing w:before="120" w:after="0" w:line="264" w:lineRule="auto"/>
        <w:rPr>
          <w:sz w:val="24"/>
          <w:szCs w:val="24"/>
        </w:rPr>
      </w:pPr>
      <w:r>
        <w:rPr>
          <w:sz w:val="24"/>
          <w:szCs w:val="24"/>
        </w:rPr>
        <w:t xml:space="preserve">Finalnie, </w:t>
      </w:r>
      <w:r>
        <w:rPr>
          <w:b/>
          <w:bCs/>
          <w:sz w:val="24"/>
          <w:szCs w:val="24"/>
        </w:rPr>
        <w:t>a</w:t>
      </w:r>
      <w:r w:rsidRPr="008B72DC">
        <w:rPr>
          <w:b/>
          <w:bCs/>
          <w:sz w:val="24"/>
          <w:szCs w:val="24"/>
        </w:rPr>
        <w:t>spekty zdrowotne i planistyczne.</w:t>
      </w:r>
      <w:r w:rsidRPr="008B72DC">
        <w:rPr>
          <w:sz w:val="24"/>
          <w:szCs w:val="24"/>
        </w:rPr>
        <w:t xml:space="preserve"> Wskaźnik kotłów/100 na poziomie ~20/100 oznacza, że około co piąty mieszkaniec (w uproszczonym sensie: na każde 100 mieszkańców przypada około 20 kotłów wymagających wymiany) jest potencjalnie narażony na obniżoną jakość powietrza z powodu lokalnych, przestarzałych źródeł spalania. To bezpośredni sygnał do priorytetowego programu wymiany pieców i wsparcia termomodernizacji na terenach wiejskich.</w:t>
      </w:r>
    </w:p>
    <w:p w14:paraId="343B5DA3" w14:textId="5157034A" w:rsidR="008B72DC" w:rsidRPr="000913E2" w:rsidRDefault="008B72DC" w:rsidP="008B72DC">
      <w:pPr>
        <w:spacing w:before="120" w:after="0" w:line="264" w:lineRule="auto"/>
        <w:rPr>
          <w:sz w:val="24"/>
          <w:szCs w:val="24"/>
        </w:rPr>
      </w:pPr>
      <w:r w:rsidRPr="008B72DC">
        <w:rPr>
          <w:sz w:val="24"/>
          <w:szCs w:val="24"/>
        </w:rPr>
        <w:t xml:space="preserve">Rekomenduję, aby priorytet działań </w:t>
      </w:r>
      <w:r>
        <w:rPr>
          <w:sz w:val="24"/>
          <w:szCs w:val="24"/>
        </w:rPr>
        <w:t xml:space="preserve">rewitalizacyjnych </w:t>
      </w:r>
      <w:r w:rsidRPr="008B72DC">
        <w:rPr>
          <w:sz w:val="24"/>
          <w:szCs w:val="24"/>
        </w:rPr>
        <w:t>stanowił</w:t>
      </w:r>
      <w:r>
        <w:rPr>
          <w:sz w:val="24"/>
          <w:szCs w:val="24"/>
        </w:rPr>
        <w:t xml:space="preserve">o wsparcie w </w:t>
      </w:r>
      <w:r w:rsidRPr="008B72DC">
        <w:rPr>
          <w:sz w:val="24"/>
          <w:szCs w:val="24"/>
        </w:rPr>
        <w:t>wymian</w:t>
      </w:r>
      <w:r>
        <w:rPr>
          <w:sz w:val="24"/>
          <w:szCs w:val="24"/>
        </w:rPr>
        <w:t>ie</w:t>
      </w:r>
      <w:r w:rsidRPr="008B72DC">
        <w:rPr>
          <w:sz w:val="24"/>
          <w:szCs w:val="24"/>
        </w:rPr>
        <w:t xml:space="preserve"> przestarzałych kotłów i kompleksowe programy termomodernizacji skoncentrowane na obszarach wiejskich zaklasyfikowanych jako </w:t>
      </w:r>
      <w:r w:rsidRPr="008B72DC">
        <w:rPr>
          <w:b/>
          <w:bCs/>
          <w:sz w:val="24"/>
          <w:szCs w:val="24"/>
        </w:rPr>
        <w:t>klasa 3</w:t>
      </w:r>
      <w:r w:rsidRPr="008B72DC">
        <w:rPr>
          <w:sz w:val="24"/>
          <w:szCs w:val="24"/>
        </w:rPr>
        <w:t xml:space="preserve">, ze szczególnym uwzględnieniem mechanizmów finansowego wsparcia (dotacje, mikropożyczki) oraz preferencyjnych ścieżek proceduralnych dla gospodarstw o niskich dochodach. Przed wdrożeniem szerokich programów wymiany kotłów konieczne jest zweryfikowanie estymacji poprzez wykorzystanie administracyjnego rozbicia inwentaryzacji źródeł ciepła według adresów, co pozwoli precyzyjnie ukierunkować środki i uniknąć błędów alokacyjnych. Równolegle należy uzupełnić ocenę jakości powietrza o lokalne pomiary (stacjonarne lub mobilne) w reprezentatywnych punktach — przynajmniej na terenach wiejskich i w osiedlach położonych przy ciągach tranzytowych — aby potwierdzić klasyfikację i zdefiniować miejsca interwencji inżynieryjnych. Programy wymiany kotłów powinny być zsynchronizowane z usuwaniem wyrobów zawierających azbest oraz z działaniami edukacyjnymi prowadzonymi przez Punkt „Czyste Powietrze”, tak aby bezpieczna utylizacja materiałów i poprawa efektywności energetycznej szły w parze. W planowaniu i finansowaniu rekomenduję ścisłą koordynację z WFOŚiGW, urzędem marszałkowskim i programami krajowymi oraz włączenie mechanizmów monitoringu i ewaluacji, </w:t>
      </w:r>
      <w:r w:rsidRPr="008B72DC">
        <w:rPr>
          <w:sz w:val="24"/>
          <w:szCs w:val="24"/>
        </w:rPr>
        <w:lastRenderedPageBreak/>
        <w:t>które będą mierzyć postęp (liczba wymienionych kotłów, poprawa stężeń zanieczyszczeń) i umożliwią korektę działań. Wreszcie, działania przestrzenne (planowanie miejscowe, warunki zabudowy) powinny uwzględniać ograniczenia związane z niską emisją i ruchem drogowym oraz promować rozwiązania sprzyjające odnawialnym źródłom ciepła i zbiorczym systemom grzewczym.</w:t>
      </w:r>
    </w:p>
    <w:p w14:paraId="68C68F4D" w14:textId="358363F7" w:rsidR="006D69FB" w:rsidRDefault="000913E2" w:rsidP="000913E2">
      <w:pPr>
        <w:spacing w:before="120" w:after="0" w:line="264" w:lineRule="auto"/>
        <w:rPr>
          <w:bCs/>
          <w:sz w:val="24"/>
          <w:szCs w:val="24"/>
        </w:rPr>
      </w:pPr>
      <w:bookmarkStart w:id="142" w:name="_Hlk96777695"/>
      <w:bookmarkEnd w:id="139"/>
      <w:bookmarkEnd w:id="140"/>
      <w:bookmarkEnd w:id="141"/>
      <w:r>
        <w:rPr>
          <w:bCs/>
          <w:sz w:val="24"/>
          <w:szCs w:val="24"/>
        </w:rPr>
        <w:t>Podsumowując, n</w:t>
      </w:r>
      <w:r w:rsidR="009871AE">
        <w:rPr>
          <w:bCs/>
          <w:sz w:val="24"/>
          <w:szCs w:val="24"/>
        </w:rPr>
        <w:t>a potrzeby analizy problemów środowiskowych wykorzystano poniższe wskaźniki:</w:t>
      </w:r>
      <w:bookmarkEnd w:id="142"/>
    </w:p>
    <w:p w14:paraId="052AEEDB" w14:textId="42A729B9" w:rsidR="00083DCB" w:rsidRPr="00083DCB" w:rsidRDefault="00083DCB" w:rsidP="006D69FB">
      <w:pPr>
        <w:pStyle w:val="Akapitzlist"/>
        <w:numPr>
          <w:ilvl w:val="0"/>
          <w:numId w:val="21"/>
        </w:numPr>
        <w:shd w:val="clear" w:color="auto" w:fill="F2F2F2"/>
        <w:spacing w:before="120" w:after="0" w:line="264" w:lineRule="auto"/>
        <w:rPr>
          <w:bCs/>
          <w:sz w:val="24"/>
          <w:szCs w:val="24"/>
        </w:rPr>
      </w:pPr>
      <w:r w:rsidRPr="00083DCB">
        <w:rPr>
          <w:sz w:val="24"/>
          <w:szCs w:val="24"/>
        </w:rPr>
        <w:t xml:space="preserve">Wskaźnik przekroczenia standardów jakości powietrza </w:t>
      </w:r>
    </w:p>
    <w:p w14:paraId="48EC8F37" w14:textId="35652AE2" w:rsidR="006D69FB" w:rsidRPr="006D69FB" w:rsidRDefault="006D69FB" w:rsidP="006D69FB">
      <w:pPr>
        <w:pStyle w:val="Akapitzlist"/>
        <w:numPr>
          <w:ilvl w:val="0"/>
          <w:numId w:val="21"/>
        </w:numPr>
        <w:shd w:val="clear" w:color="auto" w:fill="F2F2F2"/>
        <w:spacing w:before="120" w:after="0" w:line="264" w:lineRule="auto"/>
        <w:rPr>
          <w:bCs/>
          <w:sz w:val="24"/>
          <w:szCs w:val="24"/>
        </w:rPr>
      </w:pPr>
      <w:r w:rsidRPr="006D69FB">
        <w:rPr>
          <w:sz w:val="24"/>
          <w:szCs w:val="24"/>
        </w:rPr>
        <w:t>Liczba kotłów do wymiany na podstawie inwentaryzacji źródeł ciepła (kotły klasy 3 i pozaklasowe) na 100 osób</w:t>
      </w:r>
    </w:p>
    <w:p w14:paraId="16420090" w14:textId="7F692743" w:rsidR="001A4AAB" w:rsidRPr="006D69FB" w:rsidRDefault="009871AE" w:rsidP="006D69FB">
      <w:pPr>
        <w:shd w:val="clear" w:color="auto" w:fill="FFFFFF" w:themeFill="background1"/>
        <w:spacing w:before="120" w:after="0" w:line="264" w:lineRule="auto"/>
        <w:rPr>
          <w:bCs/>
          <w:sz w:val="24"/>
          <w:szCs w:val="24"/>
        </w:rPr>
      </w:pPr>
      <w:r w:rsidRPr="006D69FB">
        <w:rPr>
          <w:bCs/>
          <w:sz w:val="24"/>
          <w:szCs w:val="24"/>
        </w:rPr>
        <w:t>Poniżej zaprezentowano wyniki analiz statystycznych w zakresie uwarunkowań środowiskowych:</w:t>
      </w:r>
    </w:p>
    <w:p w14:paraId="2A7DB957" w14:textId="1751E324" w:rsidR="00BF4FFC" w:rsidRDefault="00C756CE" w:rsidP="00083DCB">
      <w:pPr>
        <w:pStyle w:val="Legenda"/>
        <w:rPr>
          <w:rStyle w:val="Pogrubienie"/>
          <w:b w:val="0"/>
          <w:bCs w:val="0"/>
        </w:rPr>
      </w:pPr>
      <w:bookmarkStart w:id="143" w:name="_Toc67141043"/>
      <w:bookmarkStart w:id="144" w:name="_Toc67307025"/>
      <w:bookmarkStart w:id="145" w:name="_Toc97300846"/>
      <w:bookmarkStart w:id="146" w:name="_Toc108591343"/>
      <w:bookmarkStart w:id="147" w:name="_Toc219274342"/>
      <w:r w:rsidRPr="00083DCB">
        <w:t xml:space="preserve">Tabela </w:t>
      </w:r>
      <w:fldSimple w:instr=" SEQ Tabela \* ARABIC ">
        <w:r w:rsidR="000913E2">
          <w:rPr>
            <w:noProof/>
          </w:rPr>
          <w:t>6</w:t>
        </w:r>
      </w:fldSimple>
      <w:r w:rsidRPr="00083DCB">
        <w:t>.</w:t>
      </w:r>
      <w:r w:rsidR="009871AE" w:rsidRPr="00083DCB">
        <w:t xml:space="preserve"> </w:t>
      </w:r>
      <w:r w:rsidR="009871AE" w:rsidRPr="00083DCB">
        <w:rPr>
          <w:rStyle w:val="Pogrubienie"/>
          <w:b w:val="0"/>
          <w:bCs w:val="0"/>
        </w:rPr>
        <w:t>Analiza uwarunkowań środowiskowych w</w:t>
      </w:r>
      <w:bookmarkEnd w:id="143"/>
      <w:bookmarkEnd w:id="144"/>
      <w:r w:rsidR="009871AE" w:rsidRPr="00083DCB">
        <w:rPr>
          <w:rStyle w:val="Pogrubienie"/>
          <w:b w:val="0"/>
          <w:bCs w:val="0"/>
        </w:rPr>
        <w:t xml:space="preserve"> Gminie </w:t>
      </w:r>
      <w:r w:rsidR="000913E2">
        <w:rPr>
          <w:rStyle w:val="Pogrubienie"/>
          <w:b w:val="0"/>
          <w:bCs w:val="0"/>
        </w:rPr>
        <w:t>Krośniewice</w:t>
      </w:r>
      <w:r w:rsidR="00083DCB">
        <w:rPr>
          <w:rStyle w:val="Pogrubienie"/>
          <w:b w:val="0"/>
          <w:bCs w:val="0"/>
        </w:rPr>
        <w:t xml:space="preserve"> </w:t>
      </w:r>
      <w:r w:rsidR="009871AE" w:rsidRPr="00083DCB">
        <w:rPr>
          <w:rStyle w:val="Pogrubienie"/>
          <w:b w:val="0"/>
          <w:bCs w:val="0"/>
        </w:rPr>
        <w:t>na podstawie wskaźników specyficznych dla sfery środowiskowej</w:t>
      </w:r>
      <w:bookmarkEnd w:id="145"/>
      <w:bookmarkEnd w:id="146"/>
      <w:bookmarkEnd w:id="147"/>
      <w:r w:rsidR="009871AE" w:rsidRPr="00083DCB">
        <w:rPr>
          <w:rStyle w:val="Pogrubienie"/>
          <w:b w:val="0"/>
          <w:bCs w:val="0"/>
        </w:rPr>
        <w:t xml:space="preserve"> </w:t>
      </w:r>
    </w:p>
    <w:tbl>
      <w:tblPr>
        <w:tblW w:w="9635" w:type="dxa"/>
        <w:tblCellMar>
          <w:left w:w="70" w:type="dxa"/>
          <w:right w:w="70" w:type="dxa"/>
        </w:tblCellMar>
        <w:tblLook w:val="04A0" w:firstRow="1" w:lastRow="0" w:firstColumn="1" w:lastColumn="0" w:noHBand="0" w:noVBand="1"/>
      </w:tblPr>
      <w:tblGrid>
        <w:gridCol w:w="3823"/>
        <w:gridCol w:w="1920"/>
        <w:gridCol w:w="1920"/>
        <w:gridCol w:w="1972"/>
      </w:tblGrid>
      <w:tr w:rsidR="00EC2434" w:rsidRPr="00EC2434" w14:paraId="747DFA41" w14:textId="77777777" w:rsidTr="00672FA0">
        <w:trPr>
          <w:trHeight w:val="2040"/>
        </w:trPr>
        <w:tc>
          <w:tcPr>
            <w:tcW w:w="3823" w:type="dxa"/>
            <w:tcBorders>
              <w:top w:val="single" w:sz="4" w:space="0" w:color="auto"/>
              <w:left w:val="single" w:sz="4" w:space="0" w:color="auto"/>
              <w:bottom w:val="nil"/>
              <w:right w:val="single" w:sz="4" w:space="0" w:color="auto"/>
            </w:tcBorders>
            <w:shd w:val="clear" w:color="000080" w:fill="4472C4"/>
            <w:noWrap/>
            <w:vAlign w:val="center"/>
            <w:hideMark/>
          </w:tcPr>
          <w:p w14:paraId="56A0A9F3" w14:textId="369DE348" w:rsidR="00EC2434" w:rsidRPr="00EC2434" w:rsidRDefault="00E20BBA" w:rsidP="00EC2434">
            <w:pPr>
              <w:suppressAutoHyphens w:val="0"/>
              <w:autoSpaceDN/>
              <w:spacing w:after="0"/>
              <w:jc w:val="center"/>
              <w:textAlignment w:val="auto"/>
              <w:rPr>
                <w:rFonts w:eastAsia="Times New Roman" w:cs="Calibri"/>
                <w:color w:val="FFFFFF"/>
                <w:lang w:eastAsia="pl-PL"/>
              </w:rPr>
            </w:pPr>
            <w:r w:rsidRPr="00E20BBA">
              <w:rPr>
                <w:rFonts w:eastAsia="Times New Roman" w:cs="Calibri"/>
                <w:color w:val="FFFFFF"/>
                <w:lang w:eastAsia="pl-PL"/>
              </w:rPr>
              <w:t>Jednostka urbanistyczna</w:t>
            </w:r>
          </w:p>
        </w:tc>
        <w:tc>
          <w:tcPr>
            <w:tcW w:w="1920" w:type="dxa"/>
            <w:tcBorders>
              <w:top w:val="single" w:sz="4" w:space="0" w:color="auto"/>
              <w:left w:val="nil"/>
              <w:bottom w:val="nil"/>
              <w:right w:val="single" w:sz="4" w:space="0" w:color="auto"/>
            </w:tcBorders>
            <w:shd w:val="clear" w:color="000080" w:fill="4472C4"/>
            <w:vAlign w:val="center"/>
            <w:hideMark/>
          </w:tcPr>
          <w:p w14:paraId="6CA4A3A5" w14:textId="4669FDD0" w:rsidR="00EC2434" w:rsidRPr="00EC2434" w:rsidRDefault="00EC2434" w:rsidP="00EC2434">
            <w:pPr>
              <w:suppressAutoHyphens w:val="0"/>
              <w:autoSpaceDN/>
              <w:spacing w:after="0"/>
              <w:jc w:val="center"/>
              <w:textAlignment w:val="auto"/>
              <w:rPr>
                <w:rFonts w:eastAsia="Times New Roman" w:cs="Calibri"/>
                <w:color w:val="FFFFFF"/>
                <w:lang w:eastAsia="pl-PL"/>
              </w:rPr>
            </w:pPr>
            <w:r w:rsidRPr="00EC2434">
              <w:rPr>
                <w:rFonts w:eastAsia="Times New Roman" w:cs="Calibri"/>
                <w:color w:val="FFFFFF"/>
                <w:lang w:eastAsia="pl-PL"/>
              </w:rPr>
              <w:t>1</w:t>
            </w:r>
            <w:r w:rsidR="00AD2D77">
              <w:rPr>
                <w:rFonts w:eastAsia="Times New Roman" w:cs="Calibri"/>
                <w:color w:val="FFFFFF"/>
                <w:lang w:eastAsia="pl-PL"/>
              </w:rPr>
              <w:t>1</w:t>
            </w:r>
            <w:r w:rsidRPr="00EC2434">
              <w:rPr>
                <w:rFonts w:eastAsia="Times New Roman" w:cs="Calibri"/>
                <w:color w:val="FFFFFF"/>
                <w:lang w:eastAsia="pl-PL"/>
              </w:rPr>
              <w:t>. Wskaźnik przekroczenia standardów jakości powietrza</w:t>
            </w:r>
          </w:p>
        </w:tc>
        <w:tc>
          <w:tcPr>
            <w:tcW w:w="1920" w:type="dxa"/>
            <w:tcBorders>
              <w:top w:val="single" w:sz="4" w:space="0" w:color="auto"/>
              <w:left w:val="nil"/>
              <w:bottom w:val="nil"/>
              <w:right w:val="single" w:sz="4" w:space="0" w:color="auto"/>
            </w:tcBorders>
            <w:shd w:val="clear" w:color="000080" w:fill="4472C4"/>
            <w:vAlign w:val="center"/>
            <w:hideMark/>
          </w:tcPr>
          <w:p w14:paraId="0326DF04" w14:textId="4DD322DC" w:rsidR="00EC2434" w:rsidRPr="00EC2434" w:rsidRDefault="00EC2434" w:rsidP="00EC2434">
            <w:pPr>
              <w:suppressAutoHyphens w:val="0"/>
              <w:autoSpaceDN/>
              <w:spacing w:after="0"/>
              <w:jc w:val="center"/>
              <w:textAlignment w:val="auto"/>
              <w:rPr>
                <w:rFonts w:eastAsia="Times New Roman" w:cs="Calibri"/>
                <w:color w:val="FFFFFF"/>
                <w:lang w:eastAsia="pl-PL"/>
              </w:rPr>
            </w:pPr>
            <w:r w:rsidRPr="00EC2434">
              <w:rPr>
                <w:rFonts w:eastAsia="Times New Roman" w:cs="Calibri"/>
                <w:color w:val="FFFFFF"/>
                <w:lang w:eastAsia="pl-PL"/>
              </w:rPr>
              <w:t>1</w:t>
            </w:r>
            <w:r w:rsidR="00AD2D77">
              <w:rPr>
                <w:rFonts w:eastAsia="Times New Roman" w:cs="Calibri"/>
                <w:color w:val="FFFFFF"/>
                <w:lang w:eastAsia="pl-PL"/>
              </w:rPr>
              <w:t>2</w:t>
            </w:r>
            <w:r w:rsidRPr="00EC2434">
              <w:rPr>
                <w:rFonts w:eastAsia="Times New Roman" w:cs="Calibri"/>
                <w:color w:val="FFFFFF"/>
                <w:lang w:eastAsia="pl-PL"/>
              </w:rPr>
              <w:t xml:space="preserve">. Liczba kotłów do wymiany na podstawie inwentaryzacji źródeł ciepła (kotły klasy 3 i pozaklasowe) na 100 osób </w:t>
            </w:r>
          </w:p>
        </w:tc>
        <w:tc>
          <w:tcPr>
            <w:tcW w:w="1972" w:type="dxa"/>
            <w:tcBorders>
              <w:top w:val="nil"/>
              <w:left w:val="nil"/>
              <w:bottom w:val="nil"/>
              <w:right w:val="nil"/>
            </w:tcBorders>
            <w:shd w:val="clear" w:color="000080" w:fill="4472C4"/>
            <w:vAlign w:val="center"/>
            <w:hideMark/>
          </w:tcPr>
          <w:p w14:paraId="0546497D" w14:textId="77777777" w:rsidR="00EC2434" w:rsidRPr="00EC2434" w:rsidRDefault="00EC2434" w:rsidP="00EC2434">
            <w:pPr>
              <w:suppressAutoHyphens w:val="0"/>
              <w:autoSpaceDN/>
              <w:spacing w:after="0"/>
              <w:jc w:val="center"/>
              <w:textAlignment w:val="auto"/>
              <w:rPr>
                <w:rFonts w:eastAsia="Times New Roman" w:cs="Calibri"/>
                <w:color w:val="FFFFFF"/>
                <w:lang w:eastAsia="pl-PL"/>
              </w:rPr>
            </w:pPr>
            <w:r w:rsidRPr="00EC2434">
              <w:rPr>
                <w:rFonts w:eastAsia="Times New Roman" w:cs="Calibri"/>
                <w:color w:val="FFFFFF"/>
                <w:lang w:eastAsia="pl-PL"/>
              </w:rPr>
              <w:t>IMD Środowiskowe</w:t>
            </w:r>
          </w:p>
        </w:tc>
      </w:tr>
      <w:tr w:rsidR="00EC2434" w:rsidRPr="00EC2434" w14:paraId="4DB9D6F8" w14:textId="77777777" w:rsidTr="00672FA0">
        <w:trPr>
          <w:trHeight w:val="290"/>
        </w:trPr>
        <w:tc>
          <w:tcPr>
            <w:tcW w:w="3823"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1FF68924"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Osiedle nr 1</w:t>
            </w:r>
          </w:p>
        </w:tc>
        <w:tc>
          <w:tcPr>
            <w:tcW w:w="1920" w:type="dxa"/>
            <w:tcBorders>
              <w:top w:val="single" w:sz="4" w:space="0" w:color="auto"/>
              <w:left w:val="nil"/>
              <w:bottom w:val="single" w:sz="4" w:space="0" w:color="auto"/>
              <w:right w:val="single" w:sz="4" w:space="0" w:color="auto"/>
            </w:tcBorders>
            <w:shd w:val="clear" w:color="000000" w:fill="C6E0B4"/>
            <w:vAlign w:val="center"/>
            <w:hideMark/>
          </w:tcPr>
          <w:p w14:paraId="4FF7E63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1</w:t>
            </w:r>
          </w:p>
        </w:tc>
        <w:tc>
          <w:tcPr>
            <w:tcW w:w="1920" w:type="dxa"/>
            <w:tcBorders>
              <w:top w:val="single" w:sz="4" w:space="0" w:color="auto"/>
              <w:left w:val="nil"/>
              <w:bottom w:val="single" w:sz="4" w:space="0" w:color="auto"/>
              <w:right w:val="single" w:sz="4" w:space="0" w:color="auto"/>
            </w:tcBorders>
            <w:shd w:val="clear" w:color="F2F2F2" w:fill="F8CBAD"/>
            <w:noWrap/>
            <w:vAlign w:val="bottom"/>
            <w:hideMark/>
          </w:tcPr>
          <w:p w14:paraId="7448D341"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8,67</w:t>
            </w:r>
          </w:p>
        </w:tc>
        <w:tc>
          <w:tcPr>
            <w:tcW w:w="1972" w:type="dxa"/>
            <w:tcBorders>
              <w:top w:val="single" w:sz="4" w:space="0" w:color="auto"/>
              <w:left w:val="nil"/>
              <w:bottom w:val="single" w:sz="4" w:space="0" w:color="auto"/>
              <w:right w:val="single" w:sz="4" w:space="0" w:color="auto"/>
            </w:tcBorders>
            <w:shd w:val="clear" w:color="F2F2F2" w:fill="FFE699"/>
            <w:noWrap/>
            <w:vAlign w:val="bottom"/>
            <w:hideMark/>
          </w:tcPr>
          <w:p w14:paraId="28DD52A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54FFB813"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6D78C84D"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Osiedle nr 2</w:t>
            </w:r>
          </w:p>
        </w:tc>
        <w:tc>
          <w:tcPr>
            <w:tcW w:w="1920" w:type="dxa"/>
            <w:tcBorders>
              <w:top w:val="nil"/>
              <w:left w:val="nil"/>
              <w:bottom w:val="single" w:sz="4" w:space="0" w:color="auto"/>
              <w:right w:val="single" w:sz="4" w:space="0" w:color="auto"/>
            </w:tcBorders>
            <w:shd w:val="clear" w:color="000000" w:fill="C6E0B4"/>
            <w:vAlign w:val="center"/>
            <w:hideMark/>
          </w:tcPr>
          <w:p w14:paraId="4DA91481"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1</w:t>
            </w:r>
          </w:p>
        </w:tc>
        <w:tc>
          <w:tcPr>
            <w:tcW w:w="1920" w:type="dxa"/>
            <w:tcBorders>
              <w:top w:val="nil"/>
              <w:left w:val="nil"/>
              <w:bottom w:val="single" w:sz="4" w:space="0" w:color="auto"/>
              <w:right w:val="single" w:sz="4" w:space="0" w:color="auto"/>
            </w:tcBorders>
            <w:shd w:val="clear" w:color="F2F2F2" w:fill="C6E0B4"/>
            <w:noWrap/>
            <w:vAlign w:val="bottom"/>
            <w:hideMark/>
          </w:tcPr>
          <w:p w14:paraId="6A846D4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8,67</w:t>
            </w:r>
          </w:p>
        </w:tc>
        <w:tc>
          <w:tcPr>
            <w:tcW w:w="1972" w:type="dxa"/>
            <w:tcBorders>
              <w:top w:val="nil"/>
              <w:left w:val="nil"/>
              <w:bottom w:val="single" w:sz="4" w:space="0" w:color="auto"/>
              <w:right w:val="single" w:sz="4" w:space="0" w:color="auto"/>
            </w:tcBorders>
            <w:shd w:val="clear" w:color="F2F2F2" w:fill="C6E0B4"/>
            <w:noWrap/>
            <w:vAlign w:val="bottom"/>
            <w:hideMark/>
          </w:tcPr>
          <w:p w14:paraId="75623E5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r>
      <w:tr w:rsidR="00EC2434" w:rsidRPr="00EC2434" w14:paraId="0E6B573B"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71458A97"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Osiedle nr 3 im. Gen. W. Andersa</w:t>
            </w:r>
          </w:p>
        </w:tc>
        <w:tc>
          <w:tcPr>
            <w:tcW w:w="1920" w:type="dxa"/>
            <w:tcBorders>
              <w:top w:val="nil"/>
              <w:left w:val="nil"/>
              <w:bottom w:val="single" w:sz="4" w:space="0" w:color="auto"/>
              <w:right w:val="single" w:sz="4" w:space="0" w:color="auto"/>
            </w:tcBorders>
            <w:shd w:val="clear" w:color="000000" w:fill="C6E0B4"/>
            <w:vAlign w:val="center"/>
            <w:hideMark/>
          </w:tcPr>
          <w:p w14:paraId="13E2ACF5"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1</w:t>
            </w:r>
          </w:p>
        </w:tc>
        <w:tc>
          <w:tcPr>
            <w:tcW w:w="1920" w:type="dxa"/>
            <w:tcBorders>
              <w:top w:val="nil"/>
              <w:left w:val="nil"/>
              <w:bottom w:val="single" w:sz="4" w:space="0" w:color="auto"/>
              <w:right w:val="single" w:sz="4" w:space="0" w:color="auto"/>
            </w:tcBorders>
            <w:shd w:val="clear" w:color="F2F2F2" w:fill="C6E0B4"/>
            <w:noWrap/>
            <w:vAlign w:val="bottom"/>
            <w:hideMark/>
          </w:tcPr>
          <w:p w14:paraId="7A11EE45"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8,67</w:t>
            </w:r>
          </w:p>
        </w:tc>
        <w:tc>
          <w:tcPr>
            <w:tcW w:w="1972" w:type="dxa"/>
            <w:tcBorders>
              <w:top w:val="nil"/>
              <w:left w:val="nil"/>
              <w:bottom w:val="single" w:sz="4" w:space="0" w:color="auto"/>
              <w:right w:val="single" w:sz="4" w:space="0" w:color="auto"/>
            </w:tcBorders>
            <w:shd w:val="clear" w:color="F2F2F2" w:fill="C6E0B4"/>
            <w:noWrap/>
            <w:vAlign w:val="bottom"/>
            <w:hideMark/>
          </w:tcPr>
          <w:p w14:paraId="1CEEC0E8"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r>
      <w:tr w:rsidR="00EC2434" w:rsidRPr="00EC2434" w14:paraId="6332D04F"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46FE28D5"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Osiedle nr 4</w:t>
            </w:r>
          </w:p>
        </w:tc>
        <w:tc>
          <w:tcPr>
            <w:tcW w:w="1920" w:type="dxa"/>
            <w:tcBorders>
              <w:top w:val="nil"/>
              <w:left w:val="nil"/>
              <w:bottom w:val="single" w:sz="4" w:space="0" w:color="auto"/>
              <w:right w:val="single" w:sz="4" w:space="0" w:color="auto"/>
            </w:tcBorders>
            <w:shd w:val="clear" w:color="000000" w:fill="C6E0B4"/>
            <w:vAlign w:val="center"/>
            <w:hideMark/>
          </w:tcPr>
          <w:p w14:paraId="1F714846"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1</w:t>
            </w:r>
          </w:p>
        </w:tc>
        <w:tc>
          <w:tcPr>
            <w:tcW w:w="1920" w:type="dxa"/>
            <w:tcBorders>
              <w:top w:val="nil"/>
              <w:left w:val="nil"/>
              <w:bottom w:val="single" w:sz="4" w:space="0" w:color="auto"/>
              <w:right w:val="single" w:sz="4" w:space="0" w:color="auto"/>
            </w:tcBorders>
            <w:shd w:val="clear" w:color="F2F2F2" w:fill="C6E0B4"/>
            <w:noWrap/>
            <w:vAlign w:val="bottom"/>
            <w:hideMark/>
          </w:tcPr>
          <w:p w14:paraId="57EE778D"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8,67</w:t>
            </w:r>
          </w:p>
        </w:tc>
        <w:tc>
          <w:tcPr>
            <w:tcW w:w="1972" w:type="dxa"/>
            <w:tcBorders>
              <w:top w:val="nil"/>
              <w:left w:val="nil"/>
              <w:bottom w:val="single" w:sz="4" w:space="0" w:color="auto"/>
              <w:right w:val="single" w:sz="4" w:space="0" w:color="auto"/>
            </w:tcBorders>
            <w:shd w:val="clear" w:color="F2F2F2" w:fill="C6E0B4"/>
            <w:noWrap/>
            <w:vAlign w:val="bottom"/>
            <w:hideMark/>
          </w:tcPr>
          <w:p w14:paraId="726D390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r>
      <w:tr w:rsidR="00EC2434" w:rsidRPr="00EC2434" w14:paraId="333A04BA"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2F6E5B37"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Osiedle nr 5</w:t>
            </w:r>
          </w:p>
        </w:tc>
        <w:tc>
          <w:tcPr>
            <w:tcW w:w="1920" w:type="dxa"/>
            <w:tcBorders>
              <w:top w:val="nil"/>
              <w:left w:val="nil"/>
              <w:bottom w:val="single" w:sz="4" w:space="0" w:color="auto"/>
              <w:right w:val="single" w:sz="4" w:space="0" w:color="auto"/>
            </w:tcBorders>
            <w:shd w:val="clear" w:color="000000" w:fill="F8CBAD"/>
            <w:vAlign w:val="center"/>
            <w:hideMark/>
          </w:tcPr>
          <w:p w14:paraId="37AE11C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3</w:t>
            </w:r>
          </w:p>
        </w:tc>
        <w:tc>
          <w:tcPr>
            <w:tcW w:w="1920" w:type="dxa"/>
            <w:tcBorders>
              <w:top w:val="nil"/>
              <w:left w:val="nil"/>
              <w:bottom w:val="single" w:sz="4" w:space="0" w:color="auto"/>
              <w:right w:val="single" w:sz="4" w:space="0" w:color="auto"/>
            </w:tcBorders>
            <w:shd w:val="clear" w:color="F2F2F2" w:fill="F8CBAD"/>
            <w:noWrap/>
            <w:vAlign w:val="bottom"/>
            <w:hideMark/>
          </w:tcPr>
          <w:p w14:paraId="2BEC5C4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8,67</w:t>
            </w:r>
          </w:p>
        </w:tc>
        <w:tc>
          <w:tcPr>
            <w:tcW w:w="1972" w:type="dxa"/>
            <w:tcBorders>
              <w:top w:val="nil"/>
              <w:left w:val="nil"/>
              <w:bottom w:val="single" w:sz="4" w:space="0" w:color="auto"/>
              <w:right w:val="single" w:sz="4" w:space="0" w:color="auto"/>
            </w:tcBorders>
            <w:shd w:val="clear" w:color="F2F2F2" w:fill="F8CBAD"/>
            <w:noWrap/>
            <w:vAlign w:val="bottom"/>
            <w:hideMark/>
          </w:tcPr>
          <w:p w14:paraId="259DD67B"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7</w:t>
            </w:r>
          </w:p>
        </w:tc>
      </w:tr>
      <w:tr w:rsidR="00EC2434" w:rsidRPr="00EC2434" w14:paraId="125C214F"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53D41774"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Osiedle nr 6</w:t>
            </w:r>
          </w:p>
        </w:tc>
        <w:tc>
          <w:tcPr>
            <w:tcW w:w="1920" w:type="dxa"/>
            <w:tcBorders>
              <w:top w:val="nil"/>
              <w:left w:val="nil"/>
              <w:bottom w:val="single" w:sz="4" w:space="0" w:color="auto"/>
              <w:right w:val="single" w:sz="4" w:space="0" w:color="auto"/>
            </w:tcBorders>
            <w:shd w:val="clear" w:color="000000" w:fill="F8CBAD"/>
            <w:vAlign w:val="center"/>
            <w:hideMark/>
          </w:tcPr>
          <w:p w14:paraId="0A94ACB6"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3</w:t>
            </w:r>
          </w:p>
        </w:tc>
        <w:tc>
          <w:tcPr>
            <w:tcW w:w="1920" w:type="dxa"/>
            <w:tcBorders>
              <w:top w:val="nil"/>
              <w:left w:val="nil"/>
              <w:bottom w:val="single" w:sz="4" w:space="0" w:color="auto"/>
              <w:right w:val="single" w:sz="4" w:space="0" w:color="auto"/>
            </w:tcBorders>
            <w:shd w:val="clear" w:color="F2F2F2" w:fill="C6E0B4"/>
            <w:noWrap/>
            <w:vAlign w:val="bottom"/>
            <w:hideMark/>
          </w:tcPr>
          <w:p w14:paraId="04B2875B"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8,67</w:t>
            </w:r>
          </w:p>
        </w:tc>
        <w:tc>
          <w:tcPr>
            <w:tcW w:w="1972" w:type="dxa"/>
            <w:tcBorders>
              <w:top w:val="nil"/>
              <w:left w:val="nil"/>
              <w:bottom w:val="single" w:sz="4" w:space="0" w:color="auto"/>
              <w:right w:val="single" w:sz="4" w:space="0" w:color="auto"/>
            </w:tcBorders>
            <w:shd w:val="clear" w:color="F2F2F2" w:fill="FFE699"/>
            <w:noWrap/>
            <w:vAlign w:val="bottom"/>
            <w:hideMark/>
          </w:tcPr>
          <w:p w14:paraId="4FFF5B3D"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7060D1A6"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7376879F"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Bielice</w:t>
            </w:r>
          </w:p>
        </w:tc>
        <w:tc>
          <w:tcPr>
            <w:tcW w:w="1920" w:type="dxa"/>
            <w:tcBorders>
              <w:top w:val="nil"/>
              <w:left w:val="nil"/>
              <w:bottom w:val="single" w:sz="4" w:space="0" w:color="auto"/>
              <w:right w:val="single" w:sz="4" w:space="0" w:color="auto"/>
            </w:tcBorders>
            <w:shd w:val="clear" w:color="000000" w:fill="F8CBAD"/>
            <w:vAlign w:val="center"/>
            <w:hideMark/>
          </w:tcPr>
          <w:p w14:paraId="253DDA3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3</w:t>
            </w:r>
          </w:p>
        </w:tc>
        <w:tc>
          <w:tcPr>
            <w:tcW w:w="1920" w:type="dxa"/>
            <w:tcBorders>
              <w:top w:val="nil"/>
              <w:left w:val="nil"/>
              <w:bottom w:val="single" w:sz="4" w:space="0" w:color="auto"/>
              <w:right w:val="single" w:sz="4" w:space="0" w:color="auto"/>
            </w:tcBorders>
            <w:shd w:val="clear" w:color="F2F2F2" w:fill="FFE699"/>
            <w:noWrap/>
            <w:vAlign w:val="bottom"/>
            <w:hideMark/>
          </w:tcPr>
          <w:p w14:paraId="50EA638D"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20,58</w:t>
            </w:r>
          </w:p>
        </w:tc>
        <w:tc>
          <w:tcPr>
            <w:tcW w:w="1972" w:type="dxa"/>
            <w:tcBorders>
              <w:top w:val="nil"/>
              <w:left w:val="nil"/>
              <w:bottom w:val="single" w:sz="4" w:space="0" w:color="auto"/>
              <w:right w:val="single" w:sz="4" w:space="0" w:color="auto"/>
            </w:tcBorders>
            <w:shd w:val="clear" w:color="F2F2F2" w:fill="FFE699"/>
            <w:noWrap/>
            <w:vAlign w:val="bottom"/>
            <w:hideMark/>
          </w:tcPr>
          <w:p w14:paraId="4AF9E8B2"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7C16D893"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4D57B71A"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Franki</w:t>
            </w:r>
          </w:p>
        </w:tc>
        <w:tc>
          <w:tcPr>
            <w:tcW w:w="1920" w:type="dxa"/>
            <w:tcBorders>
              <w:top w:val="nil"/>
              <w:left w:val="nil"/>
              <w:bottom w:val="single" w:sz="4" w:space="0" w:color="auto"/>
              <w:right w:val="single" w:sz="4" w:space="0" w:color="auto"/>
            </w:tcBorders>
            <w:shd w:val="clear" w:color="000000" w:fill="F8CBAD"/>
            <w:vAlign w:val="center"/>
            <w:hideMark/>
          </w:tcPr>
          <w:p w14:paraId="39184C91"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3</w:t>
            </w:r>
          </w:p>
        </w:tc>
        <w:tc>
          <w:tcPr>
            <w:tcW w:w="1920" w:type="dxa"/>
            <w:tcBorders>
              <w:top w:val="nil"/>
              <w:left w:val="nil"/>
              <w:bottom w:val="single" w:sz="4" w:space="0" w:color="auto"/>
              <w:right w:val="single" w:sz="4" w:space="0" w:color="auto"/>
            </w:tcBorders>
            <w:shd w:val="clear" w:color="F2F2F2" w:fill="FFE699"/>
            <w:noWrap/>
            <w:vAlign w:val="bottom"/>
            <w:hideMark/>
          </w:tcPr>
          <w:p w14:paraId="743E34A2"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20,60</w:t>
            </w:r>
          </w:p>
        </w:tc>
        <w:tc>
          <w:tcPr>
            <w:tcW w:w="1972" w:type="dxa"/>
            <w:tcBorders>
              <w:top w:val="nil"/>
              <w:left w:val="nil"/>
              <w:bottom w:val="single" w:sz="4" w:space="0" w:color="auto"/>
              <w:right w:val="single" w:sz="4" w:space="0" w:color="auto"/>
            </w:tcBorders>
            <w:shd w:val="clear" w:color="F2F2F2" w:fill="FFE699"/>
            <w:noWrap/>
            <w:vAlign w:val="bottom"/>
            <w:hideMark/>
          </w:tcPr>
          <w:p w14:paraId="1176228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62C74DE9"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137F6934"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Jankowice</w:t>
            </w:r>
          </w:p>
        </w:tc>
        <w:tc>
          <w:tcPr>
            <w:tcW w:w="1920" w:type="dxa"/>
            <w:tcBorders>
              <w:top w:val="nil"/>
              <w:left w:val="nil"/>
              <w:bottom w:val="single" w:sz="4" w:space="0" w:color="auto"/>
              <w:right w:val="single" w:sz="4" w:space="0" w:color="auto"/>
            </w:tcBorders>
            <w:shd w:val="clear" w:color="000000" w:fill="FFE699"/>
            <w:vAlign w:val="center"/>
            <w:hideMark/>
          </w:tcPr>
          <w:p w14:paraId="19F3B5A7"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358C7F4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20,60</w:t>
            </w:r>
          </w:p>
        </w:tc>
        <w:tc>
          <w:tcPr>
            <w:tcW w:w="1972" w:type="dxa"/>
            <w:tcBorders>
              <w:top w:val="nil"/>
              <w:left w:val="nil"/>
              <w:bottom w:val="single" w:sz="4" w:space="0" w:color="auto"/>
              <w:right w:val="single" w:sz="4" w:space="0" w:color="auto"/>
            </w:tcBorders>
            <w:shd w:val="clear" w:color="F2F2F2" w:fill="FFE699"/>
            <w:noWrap/>
            <w:vAlign w:val="bottom"/>
            <w:hideMark/>
          </w:tcPr>
          <w:p w14:paraId="69FB2500"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3854D936"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1304C67A"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Kajew</w:t>
            </w:r>
          </w:p>
        </w:tc>
        <w:tc>
          <w:tcPr>
            <w:tcW w:w="1920" w:type="dxa"/>
            <w:tcBorders>
              <w:top w:val="nil"/>
              <w:left w:val="nil"/>
              <w:bottom w:val="single" w:sz="4" w:space="0" w:color="auto"/>
              <w:right w:val="single" w:sz="4" w:space="0" w:color="auto"/>
            </w:tcBorders>
            <w:shd w:val="clear" w:color="000000" w:fill="FFE699"/>
            <w:vAlign w:val="center"/>
            <w:hideMark/>
          </w:tcPr>
          <w:p w14:paraId="393F0033"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40F7821D"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20,59</w:t>
            </w:r>
          </w:p>
        </w:tc>
        <w:tc>
          <w:tcPr>
            <w:tcW w:w="1972" w:type="dxa"/>
            <w:tcBorders>
              <w:top w:val="nil"/>
              <w:left w:val="nil"/>
              <w:bottom w:val="single" w:sz="4" w:space="0" w:color="auto"/>
              <w:right w:val="single" w:sz="4" w:space="0" w:color="auto"/>
            </w:tcBorders>
            <w:shd w:val="clear" w:color="F2F2F2" w:fill="FFE699"/>
            <w:noWrap/>
            <w:vAlign w:val="bottom"/>
            <w:hideMark/>
          </w:tcPr>
          <w:p w14:paraId="7247675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7AED2AA3"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2A1DCDA7"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Kopy</w:t>
            </w:r>
          </w:p>
        </w:tc>
        <w:tc>
          <w:tcPr>
            <w:tcW w:w="1920" w:type="dxa"/>
            <w:tcBorders>
              <w:top w:val="nil"/>
              <w:left w:val="nil"/>
              <w:bottom w:val="single" w:sz="4" w:space="0" w:color="auto"/>
              <w:right w:val="single" w:sz="4" w:space="0" w:color="auto"/>
            </w:tcBorders>
            <w:shd w:val="clear" w:color="000000" w:fill="FFE699"/>
            <w:vAlign w:val="center"/>
            <w:hideMark/>
          </w:tcPr>
          <w:p w14:paraId="54673BC2"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176C753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20,59</w:t>
            </w:r>
          </w:p>
        </w:tc>
        <w:tc>
          <w:tcPr>
            <w:tcW w:w="1972" w:type="dxa"/>
            <w:tcBorders>
              <w:top w:val="nil"/>
              <w:left w:val="nil"/>
              <w:bottom w:val="single" w:sz="4" w:space="0" w:color="auto"/>
              <w:right w:val="single" w:sz="4" w:space="0" w:color="auto"/>
            </w:tcBorders>
            <w:shd w:val="clear" w:color="F2F2F2" w:fill="FFE699"/>
            <w:noWrap/>
            <w:vAlign w:val="bottom"/>
            <w:hideMark/>
          </w:tcPr>
          <w:p w14:paraId="36DA975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3F934B9D"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7789B256"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Luboradz</w:t>
            </w:r>
          </w:p>
        </w:tc>
        <w:tc>
          <w:tcPr>
            <w:tcW w:w="1920" w:type="dxa"/>
            <w:tcBorders>
              <w:top w:val="nil"/>
              <w:left w:val="nil"/>
              <w:bottom w:val="single" w:sz="4" w:space="0" w:color="auto"/>
              <w:right w:val="single" w:sz="4" w:space="0" w:color="auto"/>
            </w:tcBorders>
            <w:shd w:val="clear" w:color="000000" w:fill="FFE699"/>
            <w:vAlign w:val="center"/>
            <w:hideMark/>
          </w:tcPr>
          <w:p w14:paraId="788B88A5"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1C062871"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20,58</w:t>
            </w:r>
          </w:p>
        </w:tc>
        <w:tc>
          <w:tcPr>
            <w:tcW w:w="1972" w:type="dxa"/>
            <w:tcBorders>
              <w:top w:val="nil"/>
              <w:left w:val="nil"/>
              <w:bottom w:val="single" w:sz="4" w:space="0" w:color="auto"/>
              <w:right w:val="single" w:sz="4" w:space="0" w:color="auto"/>
            </w:tcBorders>
            <w:shd w:val="clear" w:color="F2F2F2" w:fill="FFE699"/>
            <w:noWrap/>
            <w:vAlign w:val="bottom"/>
            <w:hideMark/>
          </w:tcPr>
          <w:p w14:paraId="334A2C53"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26B6C302"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10C88940"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Morawce</w:t>
            </w:r>
          </w:p>
        </w:tc>
        <w:tc>
          <w:tcPr>
            <w:tcW w:w="1920" w:type="dxa"/>
            <w:tcBorders>
              <w:top w:val="nil"/>
              <w:left w:val="nil"/>
              <w:bottom w:val="single" w:sz="4" w:space="0" w:color="auto"/>
              <w:right w:val="single" w:sz="4" w:space="0" w:color="auto"/>
            </w:tcBorders>
            <w:shd w:val="clear" w:color="000000" w:fill="FFE699"/>
            <w:vAlign w:val="center"/>
            <w:hideMark/>
          </w:tcPr>
          <w:p w14:paraId="78460D1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327188C5"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20,59</w:t>
            </w:r>
          </w:p>
        </w:tc>
        <w:tc>
          <w:tcPr>
            <w:tcW w:w="1972" w:type="dxa"/>
            <w:tcBorders>
              <w:top w:val="nil"/>
              <w:left w:val="nil"/>
              <w:bottom w:val="single" w:sz="4" w:space="0" w:color="auto"/>
              <w:right w:val="single" w:sz="4" w:space="0" w:color="auto"/>
            </w:tcBorders>
            <w:shd w:val="clear" w:color="F2F2F2" w:fill="FFE699"/>
            <w:noWrap/>
            <w:vAlign w:val="bottom"/>
            <w:hideMark/>
          </w:tcPr>
          <w:p w14:paraId="4898BDD0"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536AEDC8"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4C63F386"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Nowe</w:t>
            </w:r>
          </w:p>
        </w:tc>
        <w:tc>
          <w:tcPr>
            <w:tcW w:w="1920" w:type="dxa"/>
            <w:tcBorders>
              <w:top w:val="nil"/>
              <w:left w:val="nil"/>
              <w:bottom w:val="single" w:sz="4" w:space="0" w:color="auto"/>
              <w:right w:val="single" w:sz="4" w:space="0" w:color="auto"/>
            </w:tcBorders>
            <w:shd w:val="clear" w:color="000000" w:fill="FFE699"/>
            <w:vAlign w:val="center"/>
            <w:hideMark/>
          </w:tcPr>
          <w:p w14:paraId="318246A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6DDE435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20,58</w:t>
            </w:r>
          </w:p>
        </w:tc>
        <w:tc>
          <w:tcPr>
            <w:tcW w:w="1972" w:type="dxa"/>
            <w:tcBorders>
              <w:top w:val="nil"/>
              <w:left w:val="nil"/>
              <w:bottom w:val="single" w:sz="4" w:space="0" w:color="auto"/>
              <w:right w:val="single" w:sz="4" w:space="0" w:color="auto"/>
            </w:tcBorders>
            <w:shd w:val="clear" w:color="F2F2F2" w:fill="FFE699"/>
            <w:noWrap/>
            <w:vAlign w:val="bottom"/>
            <w:hideMark/>
          </w:tcPr>
          <w:p w14:paraId="02CB7C4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74BDE8D5"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4830EA86"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Ostałów</w:t>
            </w:r>
          </w:p>
        </w:tc>
        <w:tc>
          <w:tcPr>
            <w:tcW w:w="1920" w:type="dxa"/>
            <w:tcBorders>
              <w:top w:val="nil"/>
              <w:left w:val="nil"/>
              <w:bottom w:val="single" w:sz="4" w:space="0" w:color="auto"/>
              <w:right w:val="single" w:sz="4" w:space="0" w:color="auto"/>
            </w:tcBorders>
            <w:shd w:val="clear" w:color="000000" w:fill="FFE699"/>
            <w:vAlign w:val="center"/>
            <w:hideMark/>
          </w:tcPr>
          <w:p w14:paraId="17A1F17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3ABA4E4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20,58</w:t>
            </w:r>
          </w:p>
        </w:tc>
        <w:tc>
          <w:tcPr>
            <w:tcW w:w="1972" w:type="dxa"/>
            <w:tcBorders>
              <w:top w:val="nil"/>
              <w:left w:val="nil"/>
              <w:bottom w:val="single" w:sz="4" w:space="0" w:color="auto"/>
              <w:right w:val="single" w:sz="4" w:space="0" w:color="auto"/>
            </w:tcBorders>
            <w:shd w:val="clear" w:color="F2F2F2" w:fill="FFE699"/>
            <w:noWrap/>
            <w:vAlign w:val="bottom"/>
            <w:hideMark/>
          </w:tcPr>
          <w:p w14:paraId="185AF6E2"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63C7EB70"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349A1E14"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Pawlikowice</w:t>
            </w:r>
          </w:p>
        </w:tc>
        <w:tc>
          <w:tcPr>
            <w:tcW w:w="1920" w:type="dxa"/>
            <w:tcBorders>
              <w:top w:val="nil"/>
              <w:left w:val="nil"/>
              <w:bottom w:val="single" w:sz="4" w:space="0" w:color="auto"/>
              <w:right w:val="single" w:sz="4" w:space="0" w:color="auto"/>
            </w:tcBorders>
            <w:shd w:val="clear" w:color="000000" w:fill="FFE699"/>
            <w:vAlign w:val="center"/>
            <w:hideMark/>
          </w:tcPr>
          <w:p w14:paraId="1780B1EC"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3F36573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20,59</w:t>
            </w:r>
          </w:p>
        </w:tc>
        <w:tc>
          <w:tcPr>
            <w:tcW w:w="1972" w:type="dxa"/>
            <w:tcBorders>
              <w:top w:val="nil"/>
              <w:left w:val="nil"/>
              <w:bottom w:val="single" w:sz="4" w:space="0" w:color="auto"/>
              <w:right w:val="single" w:sz="4" w:space="0" w:color="auto"/>
            </w:tcBorders>
            <w:shd w:val="clear" w:color="F2F2F2" w:fill="FFE699"/>
            <w:noWrap/>
            <w:vAlign w:val="bottom"/>
            <w:hideMark/>
          </w:tcPr>
          <w:p w14:paraId="22BDBB52"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4CC6BFFD"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07A01FCD"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Pomarzany</w:t>
            </w:r>
          </w:p>
        </w:tc>
        <w:tc>
          <w:tcPr>
            <w:tcW w:w="1920" w:type="dxa"/>
            <w:tcBorders>
              <w:top w:val="nil"/>
              <w:left w:val="nil"/>
              <w:bottom w:val="single" w:sz="4" w:space="0" w:color="auto"/>
              <w:right w:val="single" w:sz="4" w:space="0" w:color="auto"/>
            </w:tcBorders>
            <w:shd w:val="clear" w:color="000000" w:fill="FFE699"/>
            <w:vAlign w:val="center"/>
            <w:hideMark/>
          </w:tcPr>
          <w:p w14:paraId="24F0B578"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416E86B3"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20,59</w:t>
            </w:r>
          </w:p>
        </w:tc>
        <w:tc>
          <w:tcPr>
            <w:tcW w:w="1972" w:type="dxa"/>
            <w:tcBorders>
              <w:top w:val="nil"/>
              <w:left w:val="nil"/>
              <w:bottom w:val="single" w:sz="4" w:space="0" w:color="auto"/>
              <w:right w:val="single" w:sz="4" w:space="0" w:color="auto"/>
            </w:tcBorders>
            <w:shd w:val="clear" w:color="F2F2F2" w:fill="FFE699"/>
            <w:noWrap/>
            <w:vAlign w:val="bottom"/>
            <w:hideMark/>
          </w:tcPr>
          <w:p w14:paraId="48324D28"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3259558D"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7FC0192F"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Suchodoły</w:t>
            </w:r>
          </w:p>
        </w:tc>
        <w:tc>
          <w:tcPr>
            <w:tcW w:w="1920" w:type="dxa"/>
            <w:tcBorders>
              <w:top w:val="nil"/>
              <w:left w:val="nil"/>
              <w:bottom w:val="single" w:sz="4" w:space="0" w:color="auto"/>
              <w:right w:val="single" w:sz="4" w:space="0" w:color="auto"/>
            </w:tcBorders>
            <w:shd w:val="clear" w:color="000000" w:fill="F8CBAD"/>
            <w:vAlign w:val="center"/>
            <w:hideMark/>
          </w:tcPr>
          <w:p w14:paraId="07931CD5"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3</w:t>
            </w:r>
          </w:p>
        </w:tc>
        <w:tc>
          <w:tcPr>
            <w:tcW w:w="1920" w:type="dxa"/>
            <w:tcBorders>
              <w:top w:val="nil"/>
              <w:left w:val="nil"/>
              <w:bottom w:val="single" w:sz="4" w:space="0" w:color="auto"/>
              <w:right w:val="single" w:sz="4" w:space="0" w:color="auto"/>
            </w:tcBorders>
            <w:shd w:val="clear" w:color="F2F2F2" w:fill="FFE699"/>
            <w:noWrap/>
            <w:vAlign w:val="bottom"/>
            <w:hideMark/>
          </w:tcPr>
          <w:p w14:paraId="31C5DB7D"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20,58</w:t>
            </w:r>
          </w:p>
        </w:tc>
        <w:tc>
          <w:tcPr>
            <w:tcW w:w="1972" w:type="dxa"/>
            <w:tcBorders>
              <w:top w:val="nil"/>
              <w:left w:val="nil"/>
              <w:bottom w:val="single" w:sz="4" w:space="0" w:color="auto"/>
              <w:right w:val="single" w:sz="4" w:space="0" w:color="auto"/>
            </w:tcBorders>
            <w:shd w:val="clear" w:color="F2F2F2" w:fill="F8CBAD"/>
            <w:noWrap/>
            <w:vAlign w:val="bottom"/>
            <w:hideMark/>
          </w:tcPr>
          <w:p w14:paraId="0E822886"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5</w:t>
            </w:r>
          </w:p>
        </w:tc>
      </w:tr>
      <w:tr w:rsidR="00EC2434" w:rsidRPr="00EC2434" w14:paraId="10DB5B61"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2833D6E5"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Szubina</w:t>
            </w:r>
          </w:p>
        </w:tc>
        <w:tc>
          <w:tcPr>
            <w:tcW w:w="1920" w:type="dxa"/>
            <w:tcBorders>
              <w:top w:val="nil"/>
              <w:left w:val="nil"/>
              <w:bottom w:val="single" w:sz="4" w:space="0" w:color="auto"/>
              <w:right w:val="single" w:sz="4" w:space="0" w:color="auto"/>
            </w:tcBorders>
            <w:shd w:val="clear" w:color="000000" w:fill="FFE699"/>
            <w:vAlign w:val="center"/>
            <w:hideMark/>
          </w:tcPr>
          <w:p w14:paraId="67C7CC68"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76F99AF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20,60</w:t>
            </w:r>
          </w:p>
        </w:tc>
        <w:tc>
          <w:tcPr>
            <w:tcW w:w="1972" w:type="dxa"/>
            <w:tcBorders>
              <w:top w:val="nil"/>
              <w:left w:val="nil"/>
              <w:bottom w:val="single" w:sz="4" w:space="0" w:color="auto"/>
              <w:right w:val="single" w:sz="4" w:space="0" w:color="auto"/>
            </w:tcBorders>
            <w:shd w:val="clear" w:color="F2F2F2" w:fill="FFE699"/>
            <w:noWrap/>
            <w:vAlign w:val="bottom"/>
            <w:hideMark/>
          </w:tcPr>
          <w:p w14:paraId="60BB69EC"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48F26E97" w14:textId="77777777" w:rsidTr="00672FA0">
        <w:trPr>
          <w:trHeight w:val="290"/>
        </w:trPr>
        <w:tc>
          <w:tcPr>
            <w:tcW w:w="3823"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4A4D4725"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Szubsk Duży</w:t>
            </w:r>
          </w:p>
        </w:tc>
        <w:tc>
          <w:tcPr>
            <w:tcW w:w="192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11AF250B"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single" w:sz="4" w:space="0" w:color="auto"/>
              <w:left w:val="single" w:sz="4" w:space="0" w:color="auto"/>
              <w:bottom w:val="single" w:sz="4" w:space="0" w:color="auto"/>
              <w:right w:val="single" w:sz="4" w:space="0" w:color="auto"/>
            </w:tcBorders>
            <w:shd w:val="clear" w:color="F2F2F2" w:fill="FFE699"/>
            <w:noWrap/>
            <w:vAlign w:val="bottom"/>
            <w:hideMark/>
          </w:tcPr>
          <w:p w14:paraId="072CDF3B"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20,59</w:t>
            </w:r>
          </w:p>
        </w:tc>
        <w:tc>
          <w:tcPr>
            <w:tcW w:w="1972" w:type="dxa"/>
            <w:tcBorders>
              <w:top w:val="single" w:sz="4" w:space="0" w:color="auto"/>
              <w:left w:val="single" w:sz="4" w:space="0" w:color="auto"/>
              <w:bottom w:val="single" w:sz="4" w:space="0" w:color="auto"/>
              <w:right w:val="single" w:sz="4" w:space="0" w:color="auto"/>
            </w:tcBorders>
            <w:shd w:val="clear" w:color="F2F2F2" w:fill="FFE699"/>
            <w:noWrap/>
            <w:vAlign w:val="bottom"/>
            <w:hideMark/>
          </w:tcPr>
          <w:p w14:paraId="5F7C91C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188E3C09" w14:textId="77777777" w:rsidTr="00672FA0">
        <w:trPr>
          <w:trHeight w:val="290"/>
        </w:trPr>
        <w:tc>
          <w:tcPr>
            <w:tcW w:w="3823" w:type="dxa"/>
            <w:tcBorders>
              <w:top w:val="single" w:sz="4" w:space="0" w:color="auto"/>
              <w:left w:val="single" w:sz="4" w:space="0" w:color="auto"/>
              <w:bottom w:val="single" w:sz="4" w:space="0" w:color="auto"/>
              <w:right w:val="single" w:sz="4" w:space="0" w:color="auto"/>
            </w:tcBorders>
            <w:shd w:val="clear" w:color="F2F2F2" w:fill="FFFFFF"/>
            <w:vAlign w:val="bottom"/>
            <w:hideMark/>
          </w:tcPr>
          <w:p w14:paraId="17898022"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Szubsk Towarzystwo</w:t>
            </w:r>
          </w:p>
        </w:tc>
        <w:tc>
          <w:tcPr>
            <w:tcW w:w="1920" w:type="dxa"/>
            <w:tcBorders>
              <w:top w:val="single" w:sz="4" w:space="0" w:color="auto"/>
              <w:left w:val="nil"/>
              <w:bottom w:val="single" w:sz="4" w:space="0" w:color="auto"/>
              <w:right w:val="single" w:sz="4" w:space="0" w:color="auto"/>
            </w:tcBorders>
            <w:shd w:val="clear" w:color="000000" w:fill="FFE699"/>
            <w:vAlign w:val="center"/>
            <w:hideMark/>
          </w:tcPr>
          <w:p w14:paraId="110553B3"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single" w:sz="4" w:space="0" w:color="auto"/>
              <w:left w:val="nil"/>
              <w:bottom w:val="single" w:sz="4" w:space="0" w:color="auto"/>
              <w:right w:val="single" w:sz="4" w:space="0" w:color="auto"/>
            </w:tcBorders>
            <w:shd w:val="clear" w:color="F2F2F2" w:fill="FFE699"/>
            <w:noWrap/>
            <w:vAlign w:val="bottom"/>
            <w:hideMark/>
          </w:tcPr>
          <w:p w14:paraId="1468A81C"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20,59</w:t>
            </w:r>
          </w:p>
        </w:tc>
        <w:tc>
          <w:tcPr>
            <w:tcW w:w="1972" w:type="dxa"/>
            <w:tcBorders>
              <w:top w:val="single" w:sz="4" w:space="0" w:color="auto"/>
              <w:left w:val="nil"/>
              <w:bottom w:val="single" w:sz="4" w:space="0" w:color="auto"/>
              <w:right w:val="single" w:sz="4" w:space="0" w:color="auto"/>
            </w:tcBorders>
            <w:shd w:val="clear" w:color="F2F2F2" w:fill="FFE699"/>
            <w:noWrap/>
            <w:vAlign w:val="bottom"/>
            <w:hideMark/>
          </w:tcPr>
          <w:p w14:paraId="0E0608D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2128959A"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23A1D886"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Teresin</w:t>
            </w:r>
          </w:p>
        </w:tc>
        <w:tc>
          <w:tcPr>
            <w:tcW w:w="1920" w:type="dxa"/>
            <w:tcBorders>
              <w:top w:val="nil"/>
              <w:left w:val="nil"/>
              <w:bottom w:val="single" w:sz="4" w:space="0" w:color="auto"/>
              <w:right w:val="single" w:sz="4" w:space="0" w:color="auto"/>
            </w:tcBorders>
            <w:shd w:val="clear" w:color="000000" w:fill="FFE699"/>
            <w:vAlign w:val="center"/>
            <w:hideMark/>
          </w:tcPr>
          <w:p w14:paraId="12FC4973"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739A802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20,60</w:t>
            </w:r>
          </w:p>
        </w:tc>
        <w:tc>
          <w:tcPr>
            <w:tcW w:w="1972" w:type="dxa"/>
            <w:tcBorders>
              <w:top w:val="nil"/>
              <w:left w:val="nil"/>
              <w:bottom w:val="single" w:sz="4" w:space="0" w:color="auto"/>
              <w:right w:val="single" w:sz="4" w:space="0" w:color="auto"/>
            </w:tcBorders>
            <w:shd w:val="clear" w:color="F2F2F2" w:fill="FFE699"/>
            <w:noWrap/>
            <w:vAlign w:val="bottom"/>
            <w:hideMark/>
          </w:tcPr>
          <w:p w14:paraId="0933BEBA"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70242F28"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2CFFF8FB"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Witów</w:t>
            </w:r>
          </w:p>
        </w:tc>
        <w:tc>
          <w:tcPr>
            <w:tcW w:w="1920" w:type="dxa"/>
            <w:tcBorders>
              <w:top w:val="nil"/>
              <w:left w:val="nil"/>
              <w:bottom w:val="single" w:sz="4" w:space="0" w:color="auto"/>
              <w:right w:val="single" w:sz="4" w:space="0" w:color="auto"/>
            </w:tcBorders>
            <w:shd w:val="clear" w:color="000000" w:fill="FFE699"/>
            <w:vAlign w:val="center"/>
            <w:hideMark/>
          </w:tcPr>
          <w:p w14:paraId="72FF8C53"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50B72F82"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20,59</w:t>
            </w:r>
          </w:p>
        </w:tc>
        <w:tc>
          <w:tcPr>
            <w:tcW w:w="1972" w:type="dxa"/>
            <w:tcBorders>
              <w:top w:val="nil"/>
              <w:left w:val="nil"/>
              <w:bottom w:val="single" w:sz="4" w:space="0" w:color="auto"/>
              <w:right w:val="single" w:sz="4" w:space="0" w:color="auto"/>
            </w:tcBorders>
            <w:shd w:val="clear" w:color="F2F2F2" w:fill="FFE699"/>
            <w:noWrap/>
            <w:vAlign w:val="bottom"/>
            <w:hideMark/>
          </w:tcPr>
          <w:p w14:paraId="1EA662AC"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60EC46FC"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37320718"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Wola Nowska</w:t>
            </w:r>
          </w:p>
        </w:tc>
        <w:tc>
          <w:tcPr>
            <w:tcW w:w="1920" w:type="dxa"/>
            <w:tcBorders>
              <w:top w:val="nil"/>
              <w:left w:val="nil"/>
              <w:bottom w:val="single" w:sz="4" w:space="0" w:color="auto"/>
              <w:right w:val="single" w:sz="4" w:space="0" w:color="auto"/>
            </w:tcBorders>
            <w:shd w:val="clear" w:color="000000" w:fill="FFE699"/>
            <w:vAlign w:val="center"/>
            <w:hideMark/>
          </w:tcPr>
          <w:p w14:paraId="1546FD69"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5F7468E1"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20,59</w:t>
            </w:r>
          </w:p>
        </w:tc>
        <w:tc>
          <w:tcPr>
            <w:tcW w:w="1972" w:type="dxa"/>
            <w:tcBorders>
              <w:top w:val="nil"/>
              <w:left w:val="nil"/>
              <w:bottom w:val="single" w:sz="4" w:space="0" w:color="auto"/>
              <w:right w:val="single" w:sz="4" w:space="0" w:color="auto"/>
            </w:tcBorders>
            <w:shd w:val="clear" w:color="F2F2F2" w:fill="FFE699"/>
            <w:noWrap/>
            <w:vAlign w:val="bottom"/>
            <w:hideMark/>
          </w:tcPr>
          <w:p w14:paraId="0FE86160"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7C9E17C2"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636C2AB4"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Wychny</w:t>
            </w:r>
          </w:p>
        </w:tc>
        <w:tc>
          <w:tcPr>
            <w:tcW w:w="1920" w:type="dxa"/>
            <w:tcBorders>
              <w:top w:val="nil"/>
              <w:left w:val="nil"/>
              <w:bottom w:val="single" w:sz="4" w:space="0" w:color="auto"/>
              <w:right w:val="single" w:sz="4" w:space="0" w:color="auto"/>
            </w:tcBorders>
            <w:shd w:val="clear" w:color="000000" w:fill="F8CBAD"/>
            <w:vAlign w:val="center"/>
            <w:hideMark/>
          </w:tcPr>
          <w:p w14:paraId="47AF309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3</w:t>
            </w:r>
          </w:p>
        </w:tc>
        <w:tc>
          <w:tcPr>
            <w:tcW w:w="1920" w:type="dxa"/>
            <w:tcBorders>
              <w:top w:val="nil"/>
              <w:left w:val="nil"/>
              <w:bottom w:val="single" w:sz="4" w:space="0" w:color="auto"/>
              <w:right w:val="single" w:sz="4" w:space="0" w:color="auto"/>
            </w:tcBorders>
            <w:shd w:val="clear" w:color="F2F2F2" w:fill="FFE699"/>
            <w:noWrap/>
            <w:vAlign w:val="bottom"/>
            <w:hideMark/>
          </w:tcPr>
          <w:p w14:paraId="26E77AE7"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20,58</w:t>
            </w:r>
          </w:p>
        </w:tc>
        <w:tc>
          <w:tcPr>
            <w:tcW w:w="1972" w:type="dxa"/>
            <w:tcBorders>
              <w:top w:val="nil"/>
              <w:left w:val="nil"/>
              <w:bottom w:val="single" w:sz="4" w:space="0" w:color="auto"/>
              <w:right w:val="single" w:sz="4" w:space="0" w:color="auto"/>
            </w:tcBorders>
            <w:shd w:val="clear" w:color="F2F2F2" w:fill="F8CBAD"/>
            <w:noWrap/>
            <w:vAlign w:val="bottom"/>
            <w:hideMark/>
          </w:tcPr>
          <w:p w14:paraId="1962C14B"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5</w:t>
            </w:r>
          </w:p>
        </w:tc>
      </w:tr>
      <w:tr w:rsidR="00EC2434" w:rsidRPr="00EC2434" w14:paraId="000D4A8F" w14:textId="77777777" w:rsidTr="00672FA0">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5802728C"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Wymysłów</w:t>
            </w:r>
          </w:p>
        </w:tc>
        <w:tc>
          <w:tcPr>
            <w:tcW w:w="1920" w:type="dxa"/>
            <w:tcBorders>
              <w:top w:val="nil"/>
              <w:left w:val="nil"/>
              <w:bottom w:val="single" w:sz="4" w:space="0" w:color="auto"/>
              <w:right w:val="single" w:sz="4" w:space="0" w:color="auto"/>
            </w:tcBorders>
            <w:shd w:val="clear" w:color="000000" w:fill="FFE699"/>
            <w:vAlign w:val="center"/>
            <w:hideMark/>
          </w:tcPr>
          <w:p w14:paraId="70F15579"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75690362"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20,59</w:t>
            </w:r>
          </w:p>
        </w:tc>
        <w:tc>
          <w:tcPr>
            <w:tcW w:w="1972" w:type="dxa"/>
            <w:tcBorders>
              <w:top w:val="nil"/>
              <w:left w:val="nil"/>
              <w:bottom w:val="single" w:sz="4" w:space="0" w:color="auto"/>
              <w:right w:val="single" w:sz="4" w:space="0" w:color="auto"/>
            </w:tcBorders>
            <w:shd w:val="clear" w:color="F2F2F2" w:fill="FFE699"/>
            <w:noWrap/>
            <w:vAlign w:val="bottom"/>
            <w:hideMark/>
          </w:tcPr>
          <w:p w14:paraId="58B3AD5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2A66C34F" w14:textId="77777777" w:rsidTr="00AD2D77">
        <w:trPr>
          <w:trHeight w:val="290"/>
        </w:trPr>
        <w:tc>
          <w:tcPr>
            <w:tcW w:w="3823" w:type="dxa"/>
            <w:tcBorders>
              <w:top w:val="nil"/>
              <w:left w:val="single" w:sz="4" w:space="0" w:color="auto"/>
              <w:bottom w:val="single" w:sz="4" w:space="0" w:color="auto"/>
              <w:right w:val="single" w:sz="4" w:space="0" w:color="auto"/>
            </w:tcBorders>
            <w:shd w:val="clear" w:color="F2F2F2" w:fill="FFFFFF"/>
            <w:noWrap/>
            <w:vAlign w:val="bottom"/>
            <w:hideMark/>
          </w:tcPr>
          <w:p w14:paraId="18F1F7AA"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Sołectwo Zalesie</w:t>
            </w:r>
          </w:p>
        </w:tc>
        <w:tc>
          <w:tcPr>
            <w:tcW w:w="1920" w:type="dxa"/>
            <w:tcBorders>
              <w:top w:val="nil"/>
              <w:left w:val="nil"/>
              <w:bottom w:val="single" w:sz="4" w:space="0" w:color="auto"/>
              <w:right w:val="single" w:sz="4" w:space="0" w:color="auto"/>
            </w:tcBorders>
            <w:shd w:val="clear" w:color="000000" w:fill="FFE699"/>
            <w:vAlign w:val="center"/>
            <w:hideMark/>
          </w:tcPr>
          <w:p w14:paraId="15B6F29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shd w:val="clear" w:color="F2F2F2" w:fill="FFE699"/>
            <w:noWrap/>
            <w:vAlign w:val="bottom"/>
            <w:hideMark/>
          </w:tcPr>
          <w:p w14:paraId="2684D348"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20,59</w:t>
            </w:r>
          </w:p>
        </w:tc>
        <w:tc>
          <w:tcPr>
            <w:tcW w:w="1972" w:type="dxa"/>
            <w:tcBorders>
              <w:top w:val="nil"/>
              <w:left w:val="nil"/>
              <w:bottom w:val="single" w:sz="4" w:space="0" w:color="auto"/>
              <w:right w:val="single" w:sz="4" w:space="0" w:color="auto"/>
            </w:tcBorders>
            <w:shd w:val="clear" w:color="F2F2F2" w:fill="FFE699"/>
            <w:noWrap/>
            <w:vAlign w:val="bottom"/>
            <w:hideMark/>
          </w:tcPr>
          <w:p w14:paraId="50AA2553"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0AC49CC6" w14:textId="77777777" w:rsidTr="00AD2D77">
        <w:trPr>
          <w:trHeight w:val="290"/>
        </w:trPr>
        <w:tc>
          <w:tcPr>
            <w:tcW w:w="3823"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435F8597"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lastRenderedPageBreak/>
              <w:t>Sołectwo Zieleniew</w:t>
            </w:r>
          </w:p>
        </w:tc>
        <w:tc>
          <w:tcPr>
            <w:tcW w:w="192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294CE2B"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single" w:sz="4" w:space="0" w:color="auto"/>
              <w:left w:val="single" w:sz="4" w:space="0" w:color="auto"/>
              <w:bottom w:val="single" w:sz="4" w:space="0" w:color="auto"/>
              <w:right w:val="single" w:sz="4" w:space="0" w:color="auto"/>
            </w:tcBorders>
            <w:shd w:val="clear" w:color="F2F2F2" w:fill="FFE699"/>
            <w:noWrap/>
            <w:vAlign w:val="bottom"/>
            <w:hideMark/>
          </w:tcPr>
          <w:p w14:paraId="61B61911"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20,58</w:t>
            </w:r>
          </w:p>
        </w:tc>
        <w:tc>
          <w:tcPr>
            <w:tcW w:w="1972" w:type="dxa"/>
            <w:tcBorders>
              <w:top w:val="single" w:sz="4" w:space="0" w:color="auto"/>
              <w:left w:val="single" w:sz="4" w:space="0" w:color="auto"/>
              <w:bottom w:val="single" w:sz="4" w:space="0" w:color="auto"/>
              <w:right w:val="single" w:sz="4" w:space="0" w:color="auto"/>
            </w:tcBorders>
            <w:shd w:val="clear" w:color="F2F2F2" w:fill="FFE699"/>
            <w:noWrap/>
            <w:vAlign w:val="bottom"/>
            <w:hideMark/>
          </w:tcPr>
          <w:p w14:paraId="21EC8C07"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bl>
    <w:p w14:paraId="77B949FF" w14:textId="77777777" w:rsidR="00EC2434" w:rsidRPr="00EC2434" w:rsidRDefault="00EC2434" w:rsidP="001F4304">
      <w:pPr>
        <w:spacing w:before="120" w:after="0"/>
        <w:rPr>
          <w:sz w:val="8"/>
          <w:szCs w:val="8"/>
        </w:rPr>
      </w:pPr>
    </w:p>
    <w:tbl>
      <w:tblPr>
        <w:tblW w:w="9634" w:type="dxa"/>
        <w:tblCellMar>
          <w:left w:w="70" w:type="dxa"/>
          <w:right w:w="70" w:type="dxa"/>
        </w:tblCellMar>
        <w:tblLook w:val="04A0" w:firstRow="1" w:lastRow="0" w:firstColumn="1" w:lastColumn="0" w:noHBand="0" w:noVBand="1"/>
      </w:tblPr>
      <w:tblGrid>
        <w:gridCol w:w="3823"/>
        <w:gridCol w:w="1920"/>
        <w:gridCol w:w="1920"/>
        <w:gridCol w:w="1971"/>
      </w:tblGrid>
      <w:tr w:rsidR="00EC2434" w:rsidRPr="00EC2434" w14:paraId="0C3D2C12" w14:textId="77777777" w:rsidTr="00672FA0">
        <w:trPr>
          <w:trHeight w:val="285"/>
        </w:trPr>
        <w:tc>
          <w:tcPr>
            <w:tcW w:w="3823" w:type="dxa"/>
            <w:tcBorders>
              <w:top w:val="single" w:sz="4" w:space="0" w:color="auto"/>
              <w:left w:val="single" w:sz="4" w:space="0" w:color="auto"/>
              <w:bottom w:val="single" w:sz="4" w:space="0" w:color="auto"/>
              <w:right w:val="single" w:sz="4" w:space="0" w:color="auto"/>
            </w:tcBorders>
            <w:vAlign w:val="center"/>
            <w:hideMark/>
          </w:tcPr>
          <w:p w14:paraId="7AAF9CD6"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Średnia</w:t>
            </w:r>
          </w:p>
        </w:tc>
        <w:tc>
          <w:tcPr>
            <w:tcW w:w="1920" w:type="dxa"/>
            <w:tcBorders>
              <w:top w:val="single" w:sz="4" w:space="0" w:color="auto"/>
              <w:left w:val="nil"/>
              <w:bottom w:val="single" w:sz="4" w:space="0" w:color="auto"/>
              <w:right w:val="single" w:sz="4" w:space="0" w:color="auto"/>
            </w:tcBorders>
            <w:noWrap/>
            <w:vAlign w:val="bottom"/>
            <w:hideMark/>
          </w:tcPr>
          <w:p w14:paraId="3E20CA15"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2,00</w:t>
            </w:r>
          </w:p>
        </w:tc>
        <w:tc>
          <w:tcPr>
            <w:tcW w:w="1920" w:type="dxa"/>
            <w:tcBorders>
              <w:top w:val="single" w:sz="4" w:space="0" w:color="auto"/>
              <w:left w:val="nil"/>
              <w:bottom w:val="single" w:sz="4" w:space="0" w:color="auto"/>
              <w:right w:val="single" w:sz="4" w:space="0" w:color="auto"/>
            </w:tcBorders>
            <w:noWrap/>
            <w:vAlign w:val="bottom"/>
            <w:hideMark/>
          </w:tcPr>
          <w:p w14:paraId="0AF569B7"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18,02</w:t>
            </w:r>
          </w:p>
        </w:tc>
        <w:tc>
          <w:tcPr>
            <w:tcW w:w="1971" w:type="dxa"/>
            <w:tcBorders>
              <w:top w:val="single" w:sz="4" w:space="0" w:color="auto"/>
              <w:left w:val="nil"/>
              <w:bottom w:val="single" w:sz="4" w:space="0" w:color="auto"/>
              <w:right w:val="single" w:sz="4" w:space="0" w:color="auto"/>
            </w:tcBorders>
            <w:noWrap/>
            <w:vAlign w:val="bottom"/>
            <w:hideMark/>
          </w:tcPr>
          <w:p w14:paraId="03E53C0B"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2DE181CB" w14:textId="77777777" w:rsidTr="00672FA0">
        <w:trPr>
          <w:trHeight w:val="285"/>
        </w:trPr>
        <w:tc>
          <w:tcPr>
            <w:tcW w:w="3823" w:type="dxa"/>
            <w:tcBorders>
              <w:top w:val="nil"/>
              <w:left w:val="single" w:sz="4" w:space="0" w:color="auto"/>
              <w:bottom w:val="single" w:sz="4" w:space="0" w:color="auto"/>
              <w:right w:val="single" w:sz="4" w:space="0" w:color="auto"/>
            </w:tcBorders>
            <w:vAlign w:val="center"/>
            <w:hideMark/>
          </w:tcPr>
          <w:p w14:paraId="21D05940"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xml:space="preserve">Przedział średniej </w:t>
            </w:r>
          </w:p>
        </w:tc>
        <w:tc>
          <w:tcPr>
            <w:tcW w:w="1920" w:type="dxa"/>
            <w:tcBorders>
              <w:top w:val="nil"/>
              <w:left w:val="nil"/>
              <w:bottom w:val="single" w:sz="4" w:space="0" w:color="auto"/>
              <w:right w:val="single" w:sz="4" w:space="0" w:color="auto"/>
            </w:tcBorders>
            <w:vAlign w:val="center"/>
            <w:hideMark/>
          </w:tcPr>
          <w:p w14:paraId="50FCB441"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w:t>
            </w:r>
          </w:p>
        </w:tc>
        <w:tc>
          <w:tcPr>
            <w:tcW w:w="1920" w:type="dxa"/>
            <w:tcBorders>
              <w:top w:val="nil"/>
              <w:left w:val="nil"/>
              <w:bottom w:val="single" w:sz="4" w:space="0" w:color="auto"/>
              <w:right w:val="single" w:sz="4" w:space="0" w:color="auto"/>
            </w:tcBorders>
            <w:vAlign w:val="center"/>
            <w:hideMark/>
          </w:tcPr>
          <w:p w14:paraId="099C10C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16-21.</w:t>
            </w:r>
          </w:p>
        </w:tc>
        <w:tc>
          <w:tcPr>
            <w:tcW w:w="1971" w:type="dxa"/>
            <w:tcBorders>
              <w:top w:val="nil"/>
              <w:left w:val="nil"/>
              <w:bottom w:val="single" w:sz="4" w:space="0" w:color="auto"/>
              <w:right w:val="single" w:sz="4" w:space="0" w:color="auto"/>
            </w:tcBorders>
            <w:vAlign w:val="center"/>
            <w:hideMark/>
          </w:tcPr>
          <w:p w14:paraId="433D9DF4"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4.</w:t>
            </w:r>
          </w:p>
        </w:tc>
      </w:tr>
      <w:tr w:rsidR="00EC2434" w:rsidRPr="00EC2434" w14:paraId="24C81D02" w14:textId="77777777" w:rsidTr="00672FA0">
        <w:trPr>
          <w:trHeight w:val="285"/>
        </w:trPr>
        <w:tc>
          <w:tcPr>
            <w:tcW w:w="3823" w:type="dxa"/>
            <w:tcBorders>
              <w:top w:val="nil"/>
              <w:left w:val="single" w:sz="4" w:space="0" w:color="auto"/>
              <w:bottom w:val="single" w:sz="4" w:space="0" w:color="auto"/>
              <w:right w:val="single" w:sz="4" w:space="0" w:color="auto"/>
            </w:tcBorders>
            <w:shd w:val="clear" w:color="000000" w:fill="E7E6E6"/>
            <w:vAlign w:val="bottom"/>
            <w:hideMark/>
          </w:tcPr>
          <w:p w14:paraId="3F3D0EA8"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Wartość minimalna do korelacji</w:t>
            </w:r>
          </w:p>
        </w:tc>
        <w:tc>
          <w:tcPr>
            <w:tcW w:w="1920" w:type="dxa"/>
            <w:tcBorders>
              <w:top w:val="nil"/>
              <w:left w:val="nil"/>
              <w:bottom w:val="single" w:sz="4" w:space="0" w:color="auto"/>
              <w:right w:val="single" w:sz="4" w:space="0" w:color="auto"/>
            </w:tcBorders>
            <w:shd w:val="clear" w:color="000000" w:fill="E7E6E6"/>
            <w:vAlign w:val="bottom"/>
            <w:hideMark/>
          </w:tcPr>
          <w:p w14:paraId="24680891"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920" w:type="dxa"/>
            <w:tcBorders>
              <w:top w:val="nil"/>
              <w:left w:val="nil"/>
              <w:bottom w:val="single" w:sz="4" w:space="0" w:color="auto"/>
              <w:right w:val="single" w:sz="4" w:space="0" w:color="auto"/>
            </w:tcBorders>
            <w:shd w:val="clear" w:color="000000" w:fill="E7E6E6"/>
            <w:vAlign w:val="bottom"/>
            <w:hideMark/>
          </w:tcPr>
          <w:p w14:paraId="461D6BBB"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2,16</w:t>
            </w:r>
          </w:p>
        </w:tc>
        <w:tc>
          <w:tcPr>
            <w:tcW w:w="1971" w:type="dxa"/>
            <w:tcBorders>
              <w:top w:val="nil"/>
              <w:left w:val="nil"/>
              <w:bottom w:val="single" w:sz="4" w:space="0" w:color="auto"/>
              <w:right w:val="single" w:sz="4" w:space="0" w:color="auto"/>
            </w:tcBorders>
            <w:shd w:val="clear" w:color="000000" w:fill="E7E6E6"/>
            <w:vAlign w:val="bottom"/>
            <w:hideMark/>
          </w:tcPr>
          <w:p w14:paraId="71BAC297"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0,60</w:t>
            </w:r>
          </w:p>
        </w:tc>
      </w:tr>
      <w:tr w:rsidR="00EC2434" w:rsidRPr="00EC2434" w14:paraId="72B1A8D3" w14:textId="77777777" w:rsidTr="00672FA0">
        <w:trPr>
          <w:trHeight w:val="285"/>
        </w:trPr>
        <w:tc>
          <w:tcPr>
            <w:tcW w:w="3823" w:type="dxa"/>
            <w:tcBorders>
              <w:top w:val="nil"/>
              <w:left w:val="single" w:sz="4" w:space="0" w:color="auto"/>
              <w:bottom w:val="single" w:sz="4" w:space="0" w:color="auto"/>
              <w:right w:val="single" w:sz="4" w:space="0" w:color="auto"/>
            </w:tcBorders>
            <w:shd w:val="clear" w:color="000000" w:fill="E7E6E6"/>
            <w:vAlign w:val="bottom"/>
            <w:hideMark/>
          </w:tcPr>
          <w:p w14:paraId="2C0D9CD6"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Wartość maksymalna do korelacji</w:t>
            </w:r>
          </w:p>
        </w:tc>
        <w:tc>
          <w:tcPr>
            <w:tcW w:w="1920" w:type="dxa"/>
            <w:tcBorders>
              <w:top w:val="nil"/>
              <w:left w:val="nil"/>
              <w:bottom w:val="single" w:sz="4" w:space="0" w:color="auto"/>
              <w:right w:val="single" w:sz="4" w:space="0" w:color="auto"/>
            </w:tcBorders>
            <w:shd w:val="clear" w:color="000000" w:fill="E7E6E6"/>
            <w:vAlign w:val="bottom"/>
            <w:hideMark/>
          </w:tcPr>
          <w:p w14:paraId="21467FA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0,00</w:t>
            </w:r>
          </w:p>
        </w:tc>
        <w:tc>
          <w:tcPr>
            <w:tcW w:w="1920" w:type="dxa"/>
            <w:tcBorders>
              <w:top w:val="nil"/>
              <w:left w:val="nil"/>
              <w:bottom w:val="single" w:sz="4" w:space="0" w:color="auto"/>
              <w:right w:val="single" w:sz="4" w:space="0" w:color="auto"/>
            </w:tcBorders>
            <w:shd w:val="clear" w:color="000000" w:fill="E7E6E6"/>
            <w:vAlign w:val="bottom"/>
            <w:hideMark/>
          </w:tcPr>
          <w:p w14:paraId="289D0A0F"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2,88</w:t>
            </w:r>
          </w:p>
        </w:tc>
        <w:tc>
          <w:tcPr>
            <w:tcW w:w="1971" w:type="dxa"/>
            <w:tcBorders>
              <w:top w:val="nil"/>
              <w:left w:val="nil"/>
              <w:bottom w:val="single" w:sz="4" w:space="0" w:color="auto"/>
              <w:right w:val="single" w:sz="4" w:space="0" w:color="auto"/>
            </w:tcBorders>
            <w:shd w:val="clear" w:color="000000" w:fill="E7E6E6"/>
            <w:vAlign w:val="bottom"/>
            <w:hideMark/>
          </w:tcPr>
          <w:p w14:paraId="2B979EBE" w14:textId="77777777" w:rsidR="00EC2434" w:rsidRPr="00EC2434" w:rsidRDefault="00EC2434" w:rsidP="00EC2434">
            <w:pPr>
              <w:suppressAutoHyphens w:val="0"/>
              <w:autoSpaceDN/>
              <w:spacing w:after="0"/>
              <w:jc w:val="right"/>
              <w:textAlignment w:val="auto"/>
              <w:rPr>
                <w:rFonts w:eastAsia="Times New Roman" w:cs="Calibri"/>
                <w:color w:val="000000"/>
                <w:lang w:eastAsia="pl-PL"/>
              </w:rPr>
            </w:pPr>
            <w:r w:rsidRPr="00EC2434">
              <w:rPr>
                <w:rFonts w:eastAsia="Times New Roman" w:cs="Calibri"/>
                <w:color w:val="000000"/>
                <w:lang w:eastAsia="pl-PL"/>
              </w:rPr>
              <w:t>1,00</w:t>
            </w:r>
          </w:p>
        </w:tc>
      </w:tr>
      <w:tr w:rsidR="00EC2434" w:rsidRPr="00EC2434" w14:paraId="4D6077A0" w14:textId="77777777" w:rsidTr="00672FA0">
        <w:trPr>
          <w:trHeight w:val="285"/>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24A6A3A2"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Minimalny przedział wartości ujemnej</w:t>
            </w:r>
          </w:p>
        </w:tc>
        <w:tc>
          <w:tcPr>
            <w:tcW w:w="1920" w:type="dxa"/>
            <w:tcBorders>
              <w:top w:val="nil"/>
              <w:left w:val="nil"/>
              <w:bottom w:val="single" w:sz="4" w:space="0" w:color="auto"/>
              <w:right w:val="single" w:sz="4" w:space="0" w:color="auto"/>
            </w:tcBorders>
            <w:shd w:val="clear" w:color="000000" w:fill="FFFFFF"/>
            <w:noWrap/>
            <w:vAlign w:val="bottom"/>
            <w:hideMark/>
          </w:tcPr>
          <w:p w14:paraId="27E056CB"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2</w:t>
            </w:r>
          </w:p>
        </w:tc>
        <w:tc>
          <w:tcPr>
            <w:tcW w:w="1920" w:type="dxa"/>
            <w:tcBorders>
              <w:top w:val="nil"/>
              <w:left w:val="nil"/>
              <w:bottom w:val="single" w:sz="4" w:space="0" w:color="auto"/>
              <w:right w:val="single" w:sz="4" w:space="0" w:color="auto"/>
            </w:tcBorders>
            <w:shd w:val="clear" w:color="000000" w:fill="FFFFFF"/>
            <w:noWrap/>
            <w:vAlign w:val="bottom"/>
            <w:hideMark/>
          </w:tcPr>
          <w:p w14:paraId="646E7486"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16,00</w:t>
            </w:r>
          </w:p>
        </w:tc>
        <w:tc>
          <w:tcPr>
            <w:tcW w:w="1971" w:type="dxa"/>
            <w:tcBorders>
              <w:top w:val="nil"/>
              <w:left w:val="nil"/>
              <w:bottom w:val="single" w:sz="4" w:space="0" w:color="auto"/>
              <w:right w:val="single" w:sz="4" w:space="0" w:color="auto"/>
            </w:tcBorders>
            <w:shd w:val="clear" w:color="000000" w:fill="FFFFFF"/>
            <w:noWrap/>
            <w:vAlign w:val="bottom"/>
            <w:hideMark/>
          </w:tcPr>
          <w:p w14:paraId="7C791D28"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3</w:t>
            </w:r>
          </w:p>
        </w:tc>
      </w:tr>
      <w:tr w:rsidR="00EC2434" w:rsidRPr="00EC2434" w14:paraId="134D7D2B" w14:textId="77777777" w:rsidTr="00672FA0">
        <w:trPr>
          <w:trHeight w:val="285"/>
        </w:trPr>
        <w:tc>
          <w:tcPr>
            <w:tcW w:w="3823" w:type="dxa"/>
            <w:tcBorders>
              <w:top w:val="nil"/>
              <w:left w:val="single" w:sz="4" w:space="0" w:color="auto"/>
              <w:bottom w:val="single" w:sz="4" w:space="0" w:color="auto"/>
              <w:right w:val="single" w:sz="4" w:space="0" w:color="auto"/>
            </w:tcBorders>
            <w:shd w:val="clear" w:color="000000" w:fill="FFFFFF"/>
            <w:vAlign w:val="bottom"/>
            <w:hideMark/>
          </w:tcPr>
          <w:p w14:paraId="08DA04C7"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Maksymalny przedział wartości ujemnej</w:t>
            </w:r>
          </w:p>
        </w:tc>
        <w:tc>
          <w:tcPr>
            <w:tcW w:w="1920" w:type="dxa"/>
            <w:tcBorders>
              <w:top w:val="nil"/>
              <w:left w:val="nil"/>
              <w:bottom w:val="single" w:sz="4" w:space="0" w:color="auto"/>
              <w:right w:val="single" w:sz="4" w:space="0" w:color="auto"/>
            </w:tcBorders>
            <w:shd w:val="clear" w:color="000000" w:fill="FFFFFF"/>
            <w:noWrap/>
            <w:vAlign w:val="bottom"/>
            <w:hideMark/>
          </w:tcPr>
          <w:p w14:paraId="2EF5FCFE"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2</w:t>
            </w:r>
          </w:p>
        </w:tc>
        <w:tc>
          <w:tcPr>
            <w:tcW w:w="1920" w:type="dxa"/>
            <w:tcBorders>
              <w:top w:val="nil"/>
              <w:left w:val="nil"/>
              <w:bottom w:val="single" w:sz="4" w:space="0" w:color="auto"/>
              <w:right w:val="single" w:sz="4" w:space="0" w:color="auto"/>
            </w:tcBorders>
            <w:shd w:val="clear" w:color="000000" w:fill="FFFFFF"/>
            <w:noWrap/>
            <w:vAlign w:val="bottom"/>
            <w:hideMark/>
          </w:tcPr>
          <w:p w14:paraId="2DF766AE"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15,14</w:t>
            </w:r>
          </w:p>
        </w:tc>
        <w:tc>
          <w:tcPr>
            <w:tcW w:w="1971" w:type="dxa"/>
            <w:tcBorders>
              <w:top w:val="nil"/>
              <w:left w:val="nil"/>
              <w:bottom w:val="single" w:sz="4" w:space="0" w:color="auto"/>
              <w:right w:val="single" w:sz="4" w:space="0" w:color="auto"/>
            </w:tcBorders>
            <w:shd w:val="clear" w:color="000000" w:fill="FFFFFF"/>
            <w:noWrap/>
            <w:vAlign w:val="bottom"/>
            <w:hideMark/>
          </w:tcPr>
          <w:p w14:paraId="072AE2DA"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3</w:t>
            </w:r>
          </w:p>
        </w:tc>
      </w:tr>
      <w:tr w:rsidR="00EC2434" w:rsidRPr="00EC2434" w14:paraId="4992AAA0" w14:textId="77777777" w:rsidTr="00672FA0">
        <w:trPr>
          <w:trHeight w:val="285"/>
        </w:trPr>
        <w:tc>
          <w:tcPr>
            <w:tcW w:w="3823" w:type="dxa"/>
            <w:tcBorders>
              <w:top w:val="nil"/>
              <w:left w:val="single" w:sz="4" w:space="0" w:color="auto"/>
              <w:bottom w:val="single" w:sz="4" w:space="0" w:color="auto"/>
              <w:right w:val="single" w:sz="4" w:space="0" w:color="auto"/>
            </w:tcBorders>
            <w:shd w:val="clear" w:color="000000" w:fill="FFFFFF"/>
            <w:vAlign w:val="bottom"/>
            <w:hideMark/>
          </w:tcPr>
          <w:p w14:paraId="1EC7A866"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Minimalny przedział wartości dodatniej</w:t>
            </w:r>
          </w:p>
        </w:tc>
        <w:tc>
          <w:tcPr>
            <w:tcW w:w="1920" w:type="dxa"/>
            <w:tcBorders>
              <w:top w:val="nil"/>
              <w:left w:val="nil"/>
              <w:bottom w:val="single" w:sz="4" w:space="0" w:color="auto"/>
              <w:right w:val="single" w:sz="4" w:space="0" w:color="auto"/>
            </w:tcBorders>
            <w:shd w:val="clear" w:color="000000" w:fill="FFFFFF"/>
            <w:noWrap/>
            <w:vAlign w:val="bottom"/>
            <w:hideMark/>
          </w:tcPr>
          <w:p w14:paraId="6C94195C"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2</w:t>
            </w:r>
          </w:p>
        </w:tc>
        <w:tc>
          <w:tcPr>
            <w:tcW w:w="1920" w:type="dxa"/>
            <w:tcBorders>
              <w:top w:val="nil"/>
              <w:left w:val="nil"/>
              <w:bottom w:val="single" w:sz="4" w:space="0" w:color="auto"/>
              <w:right w:val="single" w:sz="4" w:space="0" w:color="auto"/>
            </w:tcBorders>
            <w:shd w:val="clear" w:color="000000" w:fill="FFFFFF"/>
            <w:noWrap/>
            <w:vAlign w:val="bottom"/>
            <w:hideMark/>
          </w:tcPr>
          <w:p w14:paraId="089DC321"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20,18</w:t>
            </w:r>
          </w:p>
        </w:tc>
        <w:tc>
          <w:tcPr>
            <w:tcW w:w="1971" w:type="dxa"/>
            <w:tcBorders>
              <w:top w:val="nil"/>
              <w:left w:val="nil"/>
              <w:bottom w:val="single" w:sz="4" w:space="0" w:color="auto"/>
              <w:right w:val="single" w:sz="4" w:space="0" w:color="auto"/>
            </w:tcBorders>
            <w:shd w:val="clear" w:color="000000" w:fill="FFFFFF"/>
            <w:noWrap/>
            <w:vAlign w:val="bottom"/>
            <w:hideMark/>
          </w:tcPr>
          <w:p w14:paraId="27538143"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5</w:t>
            </w:r>
          </w:p>
        </w:tc>
      </w:tr>
      <w:tr w:rsidR="00EC2434" w:rsidRPr="00EC2434" w14:paraId="1B1DE9E8" w14:textId="77777777" w:rsidTr="00672FA0">
        <w:trPr>
          <w:trHeight w:val="285"/>
        </w:trPr>
        <w:tc>
          <w:tcPr>
            <w:tcW w:w="3823" w:type="dxa"/>
            <w:tcBorders>
              <w:top w:val="nil"/>
              <w:left w:val="single" w:sz="4" w:space="0" w:color="auto"/>
              <w:bottom w:val="single" w:sz="4" w:space="0" w:color="auto"/>
              <w:right w:val="single" w:sz="4" w:space="0" w:color="auto"/>
            </w:tcBorders>
            <w:shd w:val="clear" w:color="000000" w:fill="FFFFFF"/>
            <w:vAlign w:val="bottom"/>
            <w:hideMark/>
          </w:tcPr>
          <w:p w14:paraId="1AA89A50"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Maksymalny przedział wartości dodatniej</w:t>
            </w:r>
          </w:p>
        </w:tc>
        <w:tc>
          <w:tcPr>
            <w:tcW w:w="1920" w:type="dxa"/>
            <w:tcBorders>
              <w:top w:val="nil"/>
              <w:left w:val="nil"/>
              <w:bottom w:val="single" w:sz="4" w:space="0" w:color="auto"/>
              <w:right w:val="single" w:sz="4" w:space="0" w:color="auto"/>
            </w:tcBorders>
            <w:shd w:val="clear" w:color="000000" w:fill="FFFFFF"/>
            <w:noWrap/>
            <w:vAlign w:val="bottom"/>
            <w:hideMark/>
          </w:tcPr>
          <w:p w14:paraId="5134AEE7"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2</w:t>
            </w:r>
          </w:p>
        </w:tc>
        <w:tc>
          <w:tcPr>
            <w:tcW w:w="1920" w:type="dxa"/>
            <w:tcBorders>
              <w:top w:val="nil"/>
              <w:left w:val="nil"/>
              <w:bottom w:val="single" w:sz="4" w:space="0" w:color="auto"/>
              <w:right w:val="single" w:sz="4" w:space="0" w:color="auto"/>
            </w:tcBorders>
            <w:shd w:val="clear" w:color="000000" w:fill="FFFFFF"/>
            <w:noWrap/>
            <w:vAlign w:val="bottom"/>
            <w:hideMark/>
          </w:tcPr>
          <w:p w14:paraId="6D26A477"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21,00</w:t>
            </w:r>
          </w:p>
        </w:tc>
        <w:tc>
          <w:tcPr>
            <w:tcW w:w="1971" w:type="dxa"/>
            <w:tcBorders>
              <w:top w:val="nil"/>
              <w:left w:val="nil"/>
              <w:bottom w:val="single" w:sz="4" w:space="0" w:color="auto"/>
              <w:right w:val="single" w:sz="4" w:space="0" w:color="auto"/>
            </w:tcBorders>
            <w:shd w:val="clear" w:color="000000" w:fill="FFFFFF"/>
            <w:noWrap/>
            <w:vAlign w:val="bottom"/>
            <w:hideMark/>
          </w:tcPr>
          <w:p w14:paraId="7E804D2E" w14:textId="77777777" w:rsidR="00EC2434" w:rsidRPr="00EC2434" w:rsidRDefault="00EC2434" w:rsidP="00EC2434">
            <w:pPr>
              <w:suppressAutoHyphens w:val="0"/>
              <w:autoSpaceDN/>
              <w:spacing w:after="0"/>
              <w:jc w:val="right"/>
              <w:textAlignment w:val="auto"/>
              <w:rPr>
                <w:rFonts w:eastAsia="Times New Roman" w:cs="Calibri"/>
                <w:lang w:eastAsia="pl-PL"/>
              </w:rPr>
            </w:pPr>
            <w:r w:rsidRPr="00EC2434">
              <w:rPr>
                <w:rFonts w:eastAsia="Times New Roman" w:cs="Calibri"/>
                <w:lang w:eastAsia="pl-PL"/>
              </w:rPr>
              <w:t>5</w:t>
            </w:r>
          </w:p>
        </w:tc>
      </w:tr>
      <w:tr w:rsidR="00EC2434" w:rsidRPr="00EC2434" w14:paraId="6C90E709" w14:textId="77777777" w:rsidTr="00672FA0">
        <w:trPr>
          <w:trHeight w:val="285"/>
        </w:trPr>
        <w:tc>
          <w:tcPr>
            <w:tcW w:w="3823" w:type="dxa"/>
            <w:tcBorders>
              <w:top w:val="nil"/>
              <w:left w:val="single" w:sz="4" w:space="0" w:color="auto"/>
              <w:bottom w:val="single" w:sz="4" w:space="0" w:color="auto"/>
              <w:right w:val="single" w:sz="4" w:space="0" w:color="auto"/>
            </w:tcBorders>
            <w:shd w:val="clear" w:color="000000" w:fill="C6E0B4"/>
            <w:vAlign w:val="center"/>
            <w:hideMark/>
          </w:tcPr>
          <w:p w14:paraId="65A3170F"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xml:space="preserve">Poniżej średniej </w:t>
            </w:r>
          </w:p>
        </w:tc>
        <w:tc>
          <w:tcPr>
            <w:tcW w:w="1920" w:type="dxa"/>
            <w:tcBorders>
              <w:top w:val="nil"/>
              <w:left w:val="nil"/>
              <w:bottom w:val="single" w:sz="4" w:space="0" w:color="auto"/>
              <w:right w:val="single" w:sz="4" w:space="0" w:color="auto"/>
            </w:tcBorders>
            <w:shd w:val="clear" w:color="000000" w:fill="C6E0B4"/>
            <w:vAlign w:val="center"/>
            <w:hideMark/>
          </w:tcPr>
          <w:p w14:paraId="3CB899FA"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ocena jakościowa</w:t>
            </w:r>
          </w:p>
        </w:tc>
        <w:tc>
          <w:tcPr>
            <w:tcW w:w="1920" w:type="dxa"/>
            <w:tcBorders>
              <w:top w:val="nil"/>
              <w:left w:val="nil"/>
              <w:bottom w:val="single" w:sz="4" w:space="0" w:color="auto"/>
              <w:right w:val="single" w:sz="4" w:space="0" w:color="auto"/>
            </w:tcBorders>
            <w:shd w:val="clear" w:color="000000" w:fill="C6E0B4"/>
            <w:vAlign w:val="center"/>
            <w:hideMark/>
          </w:tcPr>
          <w:p w14:paraId="10F7EB82"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c>
          <w:tcPr>
            <w:tcW w:w="1971" w:type="dxa"/>
            <w:tcBorders>
              <w:top w:val="nil"/>
              <w:left w:val="nil"/>
              <w:bottom w:val="single" w:sz="4" w:space="0" w:color="auto"/>
              <w:right w:val="single" w:sz="4" w:space="0" w:color="auto"/>
            </w:tcBorders>
            <w:shd w:val="clear" w:color="000000" w:fill="C6E0B4"/>
            <w:vAlign w:val="center"/>
            <w:hideMark/>
          </w:tcPr>
          <w:p w14:paraId="12128BFB"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r>
      <w:tr w:rsidR="00EC2434" w:rsidRPr="00EC2434" w14:paraId="09047BAE" w14:textId="77777777" w:rsidTr="00672FA0">
        <w:trPr>
          <w:trHeight w:val="285"/>
        </w:trPr>
        <w:tc>
          <w:tcPr>
            <w:tcW w:w="3823" w:type="dxa"/>
            <w:tcBorders>
              <w:top w:val="nil"/>
              <w:left w:val="single" w:sz="4" w:space="0" w:color="auto"/>
              <w:bottom w:val="single" w:sz="4" w:space="0" w:color="auto"/>
              <w:right w:val="single" w:sz="4" w:space="0" w:color="auto"/>
            </w:tcBorders>
            <w:shd w:val="clear" w:color="000000" w:fill="FFE699"/>
            <w:vAlign w:val="center"/>
            <w:hideMark/>
          </w:tcPr>
          <w:p w14:paraId="0DFC2FB8"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Średnia</w:t>
            </w:r>
          </w:p>
        </w:tc>
        <w:tc>
          <w:tcPr>
            <w:tcW w:w="1920" w:type="dxa"/>
            <w:tcBorders>
              <w:top w:val="nil"/>
              <w:left w:val="nil"/>
              <w:bottom w:val="single" w:sz="4" w:space="0" w:color="auto"/>
              <w:right w:val="single" w:sz="4" w:space="0" w:color="auto"/>
            </w:tcBorders>
            <w:shd w:val="clear" w:color="000000" w:fill="FFE699"/>
            <w:vAlign w:val="center"/>
            <w:hideMark/>
          </w:tcPr>
          <w:p w14:paraId="1EBF6B9B"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ocena jakościowa</w:t>
            </w:r>
          </w:p>
        </w:tc>
        <w:tc>
          <w:tcPr>
            <w:tcW w:w="1920" w:type="dxa"/>
            <w:tcBorders>
              <w:top w:val="nil"/>
              <w:left w:val="nil"/>
              <w:bottom w:val="single" w:sz="4" w:space="0" w:color="auto"/>
              <w:right w:val="single" w:sz="4" w:space="0" w:color="auto"/>
            </w:tcBorders>
            <w:shd w:val="clear" w:color="000000" w:fill="FFE699"/>
            <w:vAlign w:val="center"/>
            <w:hideMark/>
          </w:tcPr>
          <w:p w14:paraId="308FD0E8"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c>
          <w:tcPr>
            <w:tcW w:w="1971" w:type="dxa"/>
            <w:tcBorders>
              <w:top w:val="nil"/>
              <w:left w:val="nil"/>
              <w:bottom w:val="single" w:sz="4" w:space="0" w:color="auto"/>
              <w:right w:val="single" w:sz="4" w:space="0" w:color="auto"/>
            </w:tcBorders>
            <w:shd w:val="clear" w:color="000000" w:fill="FFE699"/>
            <w:vAlign w:val="center"/>
            <w:hideMark/>
          </w:tcPr>
          <w:p w14:paraId="184E2595"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r>
      <w:tr w:rsidR="00EC2434" w:rsidRPr="00EC2434" w14:paraId="6BCC27AA" w14:textId="77777777" w:rsidTr="00672FA0">
        <w:trPr>
          <w:trHeight w:val="285"/>
        </w:trPr>
        <w:tc>
          <w:tcPr>
            <w:tcW w:w="3823" w:type="dxa"/>
            <w:tcBorders>
              <w:top w:val="nil"/>
              <w:left w:val="single" w:sz="4" w:space="0" w:color="auto"/>
              <w:bottom w:val="single" w:sz="4" w:space="0" w:color="auto"/>
              <w:right w:val="single" w:sz="4" w:space="0" w:color="auto"/>
            </w:tcBorders>
            <w:shd w:val="clear" w:color="000000" w:fill="F8CBAD"/>
            <w:vAlign w:val="center"/>
            <w:hideMark/>
          </w:tcPr>
          <w:p w14:paraId="0C097EAE"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xml:space="preserve">Powyżej średniej </w:t>
            </w:r>
          </w:p>
        </w:tc>
        <w:tc>
          <w:tcPr>
            <w:tcW w:w="1920" w:type="dxa"/>
            <w:tcBorders>
              <w:top w:val="nil"/>
              <w:left w:val="nil"/>
              <w:bottom w:val="single" w:sz="4" w:space="0" w:color="auto"/>
              <w:right w:val="single" w:sz="4" w:space="0" w:color="auto"/>
            </w:tcBorders>
            <w:shd w:val="clear" w:color="000000" w:fill="F8CBAD"/>
            <w:vAlign w:val="center"/>
            <w:hideMark/>
          </w:tcPr>
          <w:p w14:paraId="634DA317"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ocena jakościowa</w:t>
            </w:r>
          </w:p>
        </w:tc>
        <w:tc>
          <w:tcPr>
            <w:tcW w:w="1920" w:type="dxa"/>
            <w:tcBorders>
              <w:top w:val="nil"/>
              <w:left w:val="nil"/>
              <w:bottom w:val="single" w:sz="4" w:space="0" w:color="auto"/>
              <w:right w:val="single" w:sz="4" w:space="0" w:color="auto"/>
            </w:tcBorders>
            <w:shd w:val="clear" w:color="000000" w:fill="F8CBAD"/>
            <w:vAlign w:val="center"/>
            <w:hideMark/>
          </w:tcPr>
          <w:p w14:paraId="347686F1"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c>
          <w:tcPr>
            <w:tcW w:w="1971" w:type="dxa"/>
            <w:tcBorders>
              <w:top w:val="nil"/>
              <w:left w:val="nil"/>
              <w:bottom w:val="single" w:sz="4" w:space="0" w:color="auto"/>
              <w:right w:val="single" w:sz="4" w:space="0" w:color="auto"/>
            </w:tcBorders>
            <w:shd w:val="clear" w:color="000000" w:fill="F8CBAD"/>
            <w:vAlign w:val="center"/>
            <w:hideMark/>
          </w:tcPr>
          <w:p w14:paraId="4223A05F" w14:textId="77777777" w:rsidR="00EC2434" w:rsidRPr="00EC2434" w:rsidRDefault="00EC2434" w:rsidP="00EC2434">
            <w:pPr>
              <w:suppressAutoHyphens w:val="0"/>
              <w:autoSpaceDN/>
              <w:spacing w:after="0"/>
              <w:textAlignment w:val="auto"/>
              <w:rPr>
                <w:rFonts w:eastAsia="Times New Roman" w:cs="Calibri"/>
                <w:color w:val="000000"/>
                <w:lang w:eastAsia="pl-PL"/>
              </w:rPr>
            </w:pPr>
            <w:r w:rsidRPr="00EC2434">
              <w:rPr>
                <w:rFonts w:eastAsia="Times New Roman" w:cs="Calibri"/>
                <w:color w:val="000000"/>
                <w:lang w:eastAsia="pl-PL"/>
              </w:rPr>
              <w:t> </w:t>
            </w:r>
          </w:p>
        </w:tc>
      </w:tr>
    </w:tbl>
    <w:p w14:paraId="25160F13" w14:textId="2C2A8EE9" w:rsidR="00312FAA" w:rsidRDefault="009871AE" w:rsidP="001F4304">
      <w:pPr>
        <w:spacing w:before="120" w:after="0"/>
      </w:pPr>
      <w:r w:rsidRPr="00312FAA">
        <w:t xml:space="preserve">Źródło: Opracowanie własne </w:t>
      </w:r>
    </w:p>
    <w:p w14:paraId="4DF0EDF3" w14:textId="44AEE7D1" w:rsidR="001F4304" w:rsidRPr="001F4304" w:rsidRDefault="001F4304" w:rsidP="001F4304">
      <w:pPr>
        <w:spacing w:before="120" w:after="0" w:line="264" w:lineRule="auto"/>
        <w:rPr>
          <w:sz w:val="24"/>
          <w:szCs w:val="24"/>
        </w:rPr>
      </w:pPr>
      <w:r w:rsidRPr="001F4304">
        <w:rPr>
          <w:sz w:val="24"/>
          <w:szCs w:val="24"/>
        </w:rPr>
        <w:t xml:space="preserve">Z przekazanej analizy uwarunkowań środowiskowych Gminy na podstawie wskaźnika syntetycznego IMD Środowiskowe wynika wyraźna i powtarzalna przestrzenna dychotomia: wszystkie </w:t>
      </w:r>
      <w:r w:rsidRPr="001F4304">
        <w:rPr>
          <w:rStyle w:val="Pogrubienie"/>
          <w:sz w:val="24"/>
          <w:szCs w:val="24"/>
        </w:rPr>
        <w:t>osiedla miejskie (Osiedla nr 1–6)</w:t>
      </w:r>
      <w:r w:rsidRPr="001F4304">
        <w:rPr>
          <w:sz w:val="24"/>
          <w:szCs w:val="24"/>
        </w:rPr>
        <w:t xml:space="preserve"> otrzymują niskie wartości komponentu powietrza (1) oraz relatywnie niską liczbę kotłów do wymiany przeliczoną na 100 mieszkańców (~</w:t>
      </w:r>
      <w:r w:rsidRPr="001F4304">
        <w:rPr>
          <w:rStyle w:val="Pogrubienie"/>
          <w:sz w:val="24"/>
          <w:szCs w:val="24"/>
        </w:rPr>
        <w:t>8,67/100</w:t>
      </w:r>
      <w:r w:rsidRPr="001F4304">
        <w:rPr>
          <w:sz w:val="24"/>
          <w:szCs w:val="24"/>
        </w:rPr>
        <w:t xml:space="preserve">), co przekłada się na </w:t>
      </w:r>
      <w:r w:rsidRPr="001F4304">
        <w:rPr>
          <w:rStyle w:val="Pogrubienie"/>
          <w:sz w:val="24"/>
          <w:szCs w:val="24"/>
        </w:rPr>
        <w:t>IMD Środowiskowy = 2</w:t>
      </w:r>
      <w:r w:rsidRPr="001F4304">
        <w:rPr>
          <w:sz w:val="24"/>
          <w:szCs w:val="24"/>
        </w:rPr>
        <w:t xml:space="preserve"> (stan relatywnie korzystny). Natomiast </w:t>
      </w:r>
      <w:r w:rsidRPr="001F4304">
        <w:rPr>
          <w:rStyle w:val="Pogrubienie"/>
          <w:sz w:val="24"/>
          <w:szCs w:val="24"/>
        </w:rPr>
        <w:t>wszystkie sołectwa wiejskie</w:t>
      </w:r>
      <w:r w:rsidRPr="001F4304">
        <w:rPr>
          <w:sz w:val="24"/>
          <w:szCs w:val="24"/>
        </w:rPr>
        <w:t xml:space="preserve"> charakteryzują się wyższą klasą przekroczeń powietrza (2) i znacznym udziałem „kopciuchów” (~</w:t>
      </w:r>
      <w:r w:rsidRPr="001F4304">
        <w:rPr>
          <w:rStyle w:val="Pogrubienie"/>
          <w:sz w:val="24"/>
          <w:szCs w:val="24"/>
        </w:rPr>
        <w:t>20,6 kotła/100</w:t>
      </w:r>
      <w:r w:rsidRPr="001F4304">
        <w:rPr>
          <w:sz w:val="24"/>
          <w:szCs w:val="24"/>
        </w:rPr>
        <w:t xml:space="preserve">), co skutkuje </w:t>
      </w:r>
      <w:r w:rsidRPr="001F4304">
        <w:rPr>
          <w:rStyle w:val="Pogrubienie"/>
          <w:sz w:val="24"/>
          <w:szCs w:val="24"/>
        </w:rPr>
        <w:t>IMD Środowiskowym = 4</w:t>
      </w:r>
      <w:r w:rsidRPr="001F4304">
        <w:rPr>
          <w:sz w:val="24"/>
          <w:szCs w:val="24"/>
        </w:rPr>
        <w:t xml:space="preserve"> (stan silnie niekorzystny). Średnie wartości dla gminy pokazują: średni komponent powietrza = </w:t>
      </w:r>
      <w:r w:rsidRPr="001F4304">
        <w:rPr>
          <w:rStyle w:val="Pogrubienie"/>
          <w:sz w:val="24"/>
          <w:szCs w:val="24"/>
        </w:rPr>
        <w:t>2,00</w:t>
      </w:r>
      <w:r w:rsidRPr="001F4304">
        <w:rPr>
          <w:sz w:val="24"/>
          <w:szCs w:val="24"/>
        </w:rPr>
        <w:t xml:space="preserve">, średnia liczba kotłów/100 = </w:t>
      </w:r>
      <w:r w:rsidRPr="001F4304">
        <w:rPr>
          <w:rStyle w:val="Pogrubienie"/>
          <w:sz w:val="24"/>
          <w:szCs w:val="24"/>
        </w:rPr>
        <w:t>18,02</w:t>
      </w:r>
      <w:r w:rsidRPr="001F4304">
        <w:rPr>
          <w:sz w:val="24"/>
          <w:szCs w:val="24"/>
        </w:rPr>
        <w:t xml:space="preserve">, a średnie IMD = </w:t>
      </w:r>
      <w:r w:rsidRPr="001F4304">
        <w:rPr>
          <w:rStyle w:val="Pogrubienie"/>
          <w:sz w:val="24"/>
          <w:szCs w:val="24"/>
        </w:rPr>
        <w:t>4</w:t>
      </w:r>
      <w:r w:rsidRPr="001F4304">
        <w:rPr>
          <w:sz w:val="24"/>
          <w:szCs w:val="24"/>
        </w:rPr>
        <w:t xml:space="preserve"> (w tabeli). Zakres wartości w praktyce jest stosunkowo wąski, ale wyraźnie dzieli miasto (IMD 2) od wsi (IMD 4) — to oznacza, że największe ryzyko środowiskowe skoncentrowane jest na terenach wiejskich.</w:t>
      </w:r>
    </w:p>
    <w:p w14:paraId="1B450E48" w14:textId="72E703CB" w:rsidR="00312FAA" w:rsidRPr="001F4304" w:rsidRDefault="001F4304" w:rsidP="001F4304">
      <w:pPr>
        <w:spacing w:before="120" w:after="0" w:line="264" w:lineRule="auto"/>
        <w:rPr>
          <w:sz w:val="24"/>
          <w:szCs w:val="24"/>
        </w:rPr>
      </w:pPr>
      <w:r w:rsidRPr="001F4304">
        <w:rPr>
          <w:sz w:val="24"/>
          <w:szCs w:val="24"/>
        </w:rPr>
        <w:t>Analiza IMD Środowiskowego wskazuje, że głównym problemem środowiskowym w gminie jest niska emisja z instalacji indywidualnego ogrzewania na terenach wiejskich oraz związane z tym pogorszenie jakości powietrza. W odpowiedzi konieczne jest szybkie i skoordynowane wdrożenie programów wymiany kotłów, powiązanych z termomodernizacją i usuwaniem azbestu, a także uzupełnienie oceny o lokalne pomiary powietrza i monitoring. Działania miejskie powinny dodatkowo uwzględniać wpływ ruchu tranzytowego i planistyczne reguły ograniczające ekspozycję przy ciągach komunikacyjnych. IMD Środowiskowy daje więc praktyczny instrument priorytetyzacji interwencji prośrodowiskowych i zdrowotnych w gminie, ukierunkowując środki tam, gdzie presja jest najsilniejsza (sołectwa z IMD = 4).</w:t>
      </w:r>
    </w:p>
    <w:p w14:paraId="39D43A02" w14:textId="77777777" w:rsidR="00BF4FFC" w:rsidRDefault="009871AE" w:rsidP="003D2355">
      <w:pPr>
        <w:pStyle w:val="Nagwek2"/>
      </w:pPr>
      <w:bookmarkStart w:id="148" w:name="_Toc67141076"/>
      <w:bookmarkStart w:id="149" w:name="_Toc67307378"/>
      <w:bookmarkStart w:id="150" w:name="_Toc67310281"/>
      <w:bookmarkStart w:id="151" w:name="_Toc97015009"/>
      <w:bookmarkStart w:id="152" w:name="_Toc97100742"/>
      <w:bookmarkStart w:id="153" w:name="_Toc97364983"/>
      <w:bookmarkStart w:id="154" w:name="_Toc97365029"/>
      <w:bookmarkStart w:id="155" w:name="_Toc108591675"/>
      <w:bookmarkStart w:id="156" w:name="_Toc108592687"/>
      <w:bookmarkStart w:id="157" w:name="_Toc108592752"/>
      <w:bookmarkStart w:id="158" w:name="_Toc133584138"/>
      <w:bookmarkStart w:id="159" w:name="_Toc138666212"/>
      <w:bookmarkStart w:id="160" w:name="_Toc219271390"/>
      <w:r>
        <w:t>Analiza uwarunkowań przestrzenno-</w:t>
      </w:r>
      <w:bookmarkEnd w:id="148"/>
      <w:bookmarkEnd w:id="149"/>
      <w:r>
        <w:t>funkcjonaln</w:t>
      </w:r>
      <w:bookmarkEnd w:id="150"/>
      <w:r>
        <w:t>o-technicznych</w:t>
      </w:r>
      <w:bookmarkEnd w:id="151"/>
      <w:bookmarkEnd w:id="152"/>
      <w:bookmarkEnd w:id="153"/>
      <w:bookmarkEnd w:id="154"/>
      <w:bookmarkEnd w:id="155"/>
      <w:bookmarkEnd w:id="156"/>
      <w:bookmarkEnd w:id="157"/>
      <w:bookmarkEnd w:id="158"/>
      <w:bookmarkEnd w:id="159"/>
      <w:bookmarkEnd w:id="160"/>
      <w:r>
        <w:t xml:space="preserve"> </w:t>
      </w:r>
    </w:p>
    <w:p w14:paraId="4820B192" w14:textId="77777777" w:rsidR="00F77426" w:rsidRDefault="009871AE">
      <w:pPr>
        <w:spacing w:before="120" w:after="0" w:line="264" w:lineRule="auto"/>
        <w:rPr>
          <w:rFonts w:cs="Calibri"/>
          <w:bCs/>
          <w:sz w:val="24"/>
          <w:szCs w:val="24"/>
        </w:rPr>
      </w:pPr>
      <w:r>
        <w:rPr>
          <w:rFonts w:cs="Calibri"/>
          <w:bCs/>
          <w:sz w:val="24"/>
          <w:szCs w:val="24"/>
        </w:rPr>
        <w:t xml:space="preserve">Zgodnie z przepisami ustawy o rewitalizacji kolejną przesłanką wyznaczenia obszaru zdegradowanego i obszaru rewitalizacji gminy jest natężenie problemów przestrzenno-funkcjonalnych – jest w szczególności niewystarczające wyposażenie w infrastrukturę techniczną i społeczną lub jej złego stanu  technicznego, brak dostępu do podstawowych usług lub ich niskiej jakości, niedostosowanie rozwiązań urbanistycznych do zmieniających się funkcji  obszaru, niedostosowanie infrastruktury do potrzeb osób ze szczególnymi potrzebami, o których mowa w ustawie z dnia 19 lipca 2019 r. o zapewnianiu dostępności osobom ze szczególnymi potrzebami, niskiego poziomu obsługi komunikacyjnej, niedoboru lub niskiej jakości terenów publicznych. Z kolei – w zakresie uwarunkowań technicznych – przesłanką wyznaczenia obszaru rewitalizacji jest </w:t>
      </w:r>
      <w:r>
        <w:rPr>
          <w:rFonts w:cs="Calibri"/>
          <w:bCs/>
          <w:sz w:val="24"/>
          <w:szCs w:val="24"/>
        </w:rPr>
        <w:lastRenderedPageBreak/>
        <w:t>degradacja stanu technicznego obiektów budowlanych, 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 ustawie z dnia 19 lipca 2019 r. o zapewnianiu dostępności osobom ze szczególnymi potrzebami.</w:t>
      </w:r>
    </w:p>
    <w:p w14:paraId="06B7510C" w14:textId="6DADAA26" w:rsidR="00FA2B49" w:rsidRDefault="00F77426" w:rsidP="00764192">
      <w:pPr>
        <w:spacing w:before="120" w:after="0" w:line="264" w:lineRule="auto"/>
        <w:rPr>
          <w:sz w:val="24"/>
          <w:szCs w:val="24"/>
        </w:rPr>
      </w:pPr>
      <w:bookmarkStart w:id="161" w:name="_Hlk97035024"/>
      <w:r>
        <w:rPr>
          <w:sz w:val="24"/>
          <w:szCs w:val="24"/>
        </w:rPr>
        <w:t>I</w:t>
      </w:r>
      <w:r w:rsidR="00A71313">
        <w:rPr>
          <w:sz w:val="24"/>
          <w:szCs w:val="24"/>
        </w:rPr>
        <w:t>stotnym</w:t>
      </w:r>
      <w:r w:rsidR="009871AE">
        <w:rPr>
          <w:sz w:val="24"/>
          <w:szCs w:val="24"/>
        </w:rPr>
        <w:t xml:space="preserve"> obszarem analizy uwarunkowań przestrzenno-funkcjonalno-technicznych by</w:t>
      </w:r>
      <w:r w:rsidR="00320256">
        <w:rPr>
          <w:sz w:val="24"/>
          <w:szCs w:val="24"/>
        </w:rPr>
        <w:t xml:space="preserve">ła </w:t>
      </w:r>
      <w:r w:rsidR="00320256" w:rsidRPr="00FA2B49">
        <w:rPr>
          <w:b/>
          <w:bCs/>
          <w:sz w:val="24"/>
          <w:szCs w:val="24"/>
        </w:rPr>
        <w:t>degradacja obiektów zabytkowych</w:t>
      </w:r>
      <w:r w:rsidR="00320256">
        <w:rPr>
          <w:sz w:val="24"/>
          <w:szCs w:val="24"/>
        </w:rPr>
        <w:t xml:space="preserve"> znajdujących się na terenie gminy</w:t>
      </w:r>
      <w:r w:rsidR="009871AE">
        <w:rPr>
          <w:sz w:val="24"/>
          <w:szCs w:val="24"/>
        </w:rPr>
        <w:t>.</w:t>
      </w:r>
      <w:r w:rsidR="000C3271">
        <w:rPr>
          <w:sz w:val="24"/>
          <w:szCs w:val="24"/>
        </w:rPr>
        <w:t xml:space="preserve"> </w:t>
      </w:r>
      <w:r w:rsidR="00C756CE" w:rsidRPr="00C756CE">
        <w:rPr>
          <w:sz w:val="24"/>
          <w:szCs w:val="24"/>
        </w:rPr>
        <w:t xml:space="preserve">Urząd </w:t>
      </w:r>
      <w:r w:rsidR="00FA2B49">
        <w:rPr>
          <w:sz w:val="24"/>
          <w:szCs w:val="24"/>
        </w:rPr>
        <w:t xml:space="preserve">Miejski </w:t>
      </w:r>
      <w:r w:rsidR="00C756CE" w:rsidRPr="00C756CE">
        <w:rPr>
          <w:sz w:val="24"/>
          <w:szCs w:val="24"/>
        </w:rPr>
        <w:t>prowadzi gminną ewidencję zabytków</w:t>
      </w:r>
      <w:r w:rsidR="00F355E1">
        <w:rPr>
          <w:sz w:val="24"/>
          <w:szCs w:val="24"/>
        </w:rPr>
        <w:t xml:space="preserve"> gminnych</w:t>
      </w:r>
      <w:r w:rsidR="00C756CE" w:rsidRPr="00C756CE">
        <w:rPr>
          <w:sz w:val="24"/>
          <w:szCs w:val="24"/>
        </w:rPr>
        <w:t xml:space="preserve">, zgodnie z art. 4 </w:t>
      </w:r>
      <w:r w:rsidR="00764192">
        <w:rPr>
          <w:sz w:val="24"/>
          <w:szCs w:val="24"/>
        </w:rPr>
        <w:t>u</w:t>
      </w:r>
      <w:r w:rsidR="00C756CE" w:rsidRPr="00C756CE">
        <w:rPr>
          <w:sz w:val="24"/>
          <w:szCs w:val="24"/>
        </w:rPr>
        <w:t>stawy z dnia 17 września 2003 r</w:t>
      </w:r>
      <w:r w:rsidR="000A4EFE">
        <w:rPr>
          <w:sz w:val="24"/>
          <w:szCs w:val="24"/>
        </w:rPr>
        <w:t>.</w:t>
      </w:r>
      <w:r w:rsidR="00C756CE" w:rsidRPr="00C756CE">
        <w:rPr>
          <w:sz w:val="24"/>
          <w:szCs w:val="24"/>
        </w:rPr>
        <w:t xml:space="preserve"> o ochronie zabytków i opiece nad zabytkami</w:t>
      </w:r>
      <w:r w:rsidR="00764192">
        <w:rPr>
          <w:rStyle w:val="Odwoanieprzypisudolnego"/>
          <w:sz w:val="24"/>
          <w:szCs w:val="24"/>
        </w:rPr>
        <w:footnoteReference w:id="28"/>
      </w:r>
      <w:r w:rsidR="00C756CE" w:rsidRPr="00C756CE">
        <w:rPr>
          <w:sz w:val="24"/>
          <w:szCs w:val="24"/>
        </w:rPr>
        <w:t xml:space="preserve">. </w:t>
      </w:r>
      <w:r w:rsidR="00FA2B49">
        <w:rPr>
          <w:sz w:val="24"/>
          <w:szCs w:val="24"/>
        </w:rPr>
        <w:t xml:space="preserve">Gmina posiada </w:t>
      </w:r>
      <w:r w:rsidR="00FA2B49" w:rsidRPr="00FA2B49">
        <w:rPr>
          <w:b/>
          <w:bCs/>
          <w:sz w:val="24"/>
          <w:szCs w:val="24"/>
        </w:rPr>
        <w:t>aktualny gminnego programu opieki nad zabytkami</w:t>
      </w:r>
      <w:r w:rsidR="00FA2B49">
        <w:rPr>
          <w:sz w:val="24"/>
          <w:szCs w:val="24"/>
        </w:rPr>
        <w:t xml:space="preserve"> na lata </w:t>
      </w:r>
      <w:r w:rsidR="00FA2B49" w:rsidRPr="00FA2B49">
        <w:rPr>
          <w:sz w:val="24"/>
          <w:szCs w:val="24"/>
        </w:rPr>
        <w:t>2024-2027</w:t>
      </w:r>
      <w:r w:rsidR="00FA2B49">
        <w:rPr>
          <w:rStyle w:val="Odwoanieprzypisudolnego"/>
          <w:sz w:val="24"/>
          <w:szCs w:val="24"/>
        </w:rPr>
        <w:footnoteReference w:id="29"/>
      </w:r>
      <w:r w:rsidR="00FA2B49">
        <w:rPr>
          <w:sz w:val="24"/>
          <w:szCs w:val="24"/>
        </w:rPr>
        <w:t xml:space="preserve">. </w:t>
      </w:r>
    </w:p>
    <w:p w14:paraId="169AED81" w14:textId="2235D84A" w:rsidR="00764192" w:rsidRPr="00CA3F78" w:rsidRDefault="00764192" w:rsidP="00764192">
      <w:pPr>
        <w:spacing w:before="120" w:after="0" w:line="264" w:lineRule="auto"/>
        <w:rPr>
          <w:sz w:val="24"/>
          <w:szCs w:val="24"/>
        </w:rPr>
      </w:pPr>
      <w:r>
        <w:rPr>
          <w:sz w:val="24"/>
          <w:szCs w:val="24"/>
        </w:rPr>
        <w:t>Autorzy licznych analiz dotyczących dokumentów roli i miejsce dziedzictwa kulturowego w procesie rewitalizacji widzą z jednej strony potencjał zawarty w dziedzictwie kulturowym i naturalnym, z drugiej – sama ochrona konserwatorska i konieczność dokonywania uzgodnień z odpowiednimi służbami są wskazywane jako jeden z czynników znacząco utrudniających bądź nawet uniemożliwiających przeprowadzenie inwestycji w ramach procesu wyprowadzania obszaru ze stanu kryzysowego. Jak pokazują przykłady przedstawione w Poradniku dziedzictwa kulturowego w rewitalizacji opracowanego przez Ministerstwo Rozwoju</w:t>
      </w:r>
      <w:r>
        <w:rPr>
          <w:rStyle w:val="Odwoanieprzypisudolnego"/>
          <w:sz w:val="24"/>
          <w:szCs w:val="24"/>
        </w:rPr>
        <w:footnoteReference w:id="30"/>
      </w:r>
      <w:r>
        <w:rPr>
          <w:sz w:val="24"/>
          <w:szCs w:val="24"/>
        </w:rPr>
        <w:t xml:space="preserve"> – inspiracją do podejmowania wielu wartościowych inicjatyw, zarówno w sferze społecznej, jak i przestrzenno-funkcjonalnej. Stan zachowania dziedzictwa materialnego może być przesłanką do wyznaczania obszaru zdegradowanego lub zawężenia go, z racji znaczenia dla rozwoju gminy, do obszaru rewitalizacji. Nagromadzenie zabytków to w sytuacji brakujących środków na ich odnowę wymierna oznaka degradacji w sferze technicznej. Im wyższa wartość wskaźnika, tym sytuacja jest bardziej niepożądana – wynika to z faktu, że obiekty zabytkowe nierzadko wymagają znacznych nakładów inwestycyjnych, aby zapobiec ich degradacji. W miejscowości, gdzie odnotujemy nieruchome obiekty zabytkowe wpisane do ewidencji lub rejestru zabytków, które jednocześnie charakteryzują się złym stanem technicznym z uwagi na wieloletnie zaniedbania, problemem jest nagromadzenie takich budynków. Ich modernizacja to znaczący wysiłek organizacyjny – a przede wszystkim finansowy. Obiekty zabytkowe mogą oczywiście stanowić potencjał rozwoju gminy i danej miejscowości. W wielu publikacjach poświęconej tej tematyce wskazuje się narzędzia służące do wykorzystania potencjału kulturowego miejscowości i gminy w oparciu o zasoby zabytków</w:t>
      </w:r>
      <w:r>
        <w:rPr>
          <w:rStyle w:val="Odwoanieprzypisudolnego"/>
          <w:sz w:val="24"/>
          <w:szCs w:val="24"/>
        </w:rPr>
        <w:footnoteReference w:id="31"/>
      </w:r>
      <w:r>
        <w:rPr>
          <w:sz w:val="24"/>
          <w:szCs w:val="24"/>
        </w:rPr>
        <w:t xml:space="preserve">. </w:t>
      </w:r>
    </w:p>
    <w:p w14:paraId="40AB44D2" w14:textId="45E5DCB5" w:rsidR="00FA2B49" w:rsidRPr="00FA2B49" w:rsidRDefault="00FA2B49" w:rsidP="00FA2B49">
      <w:pPr>
        <w:spacing w:before="120" w:after="0" w:line="264" w:lineRule="auto"/>
        <w:rPr>
          <w:sz w:val="24"/>
          <w:szCs w:val="24"/>
        </w:rPr>
      </w:pPr>
      <w:r w:rsidRPr="00FA2B49">
        <w:rPr>
          <w:sz w:val="24"/>
          <w:szCs w:val="24"/>
        </w:rPr>
        <w:t xml:space="preserve">Gmina Krośniewice dysponuje bogatym i rozproszonego charakteru zasobem dziedzictwa kulturowego obejmującym zarówno obiekty wpisane do rejestru zabytków (m.in. zespół pałacowo-parkowy w Krośniewicach, kolej wąskotorową, liczne dwory i parki podworskie), jak i szeroką gminną ewidencję zabytków oraz dobrze udokumentowany zasób stanowisk archeologicznych. Dokumenty planistyczne podkreślają, że historyczne zespoły dworsko-parkowe, ciągi zieleni i przestrzenie </w:t>
      </w:r>
      <w:r w:rsidRPr="00FA2B49">
        <w:rPr>
          <w:sz w:val="24"/>
          <w:szCs w:val="24"/>
        </w:rPr>
        <w:lastRenderedPageBreak/>
        <w:t>publiczne tworzą tożsamość krajobrazową gminy i stanowią naturalny fundament działań rewitalizacyjnych skoncentrowanych na odtworzeniu funkcji społecznych, kulturalnych i rekreacyjnych tych miejsc</w:t>
      </w:r>
      <w:r>
        <w:rPr>
          <w:sz w:val="24"/>
          <w:szCs w:val="24"/>
        </w:rPr>
        <w:t>.</w:t>
      </w:r>
      <w:r w:rsidRPr="00FA2B49">
        <w:rPr>
          <w:sz w:val="24"/>
          <w:szCs w:val="24"/>
        </w:rPr>
        <w:t xml:space="preserve"> </w:t>
      </w:r>
    </w:p>
    <w:p w14:paraId="09DAFF9A" w14:textId="64791FEB" w:rsidR="00FA2B49" w:rsidRPr="00FA2B49" w:rsidRDefault="00FA2B49" w:rsidP="00FA2B49">
      <w:pPr>
        <w:spacing w:before="120" w:after="0" w:line="264" w:lineRule="auto"/>
        <w:rPr>
          <w:sz w:val="24"/>
          <w:szCs w:val="24"/>
        </w:rPr>
      </w:pPr>
      <w:r w:rsidRPr="00FA2B49">
        <w:rPr>
          <w:sz w:val="24"/>
          <w:szCs w:val="24"/>
        </w:rPr>
        <w:t xml:space="preserve">Szczególną rolę w strukturze zabytkowej Krośniewic odgrywa </w:t>
      </w:r>
      <w:r w:rsidRPr="00FA2B49">
        <w:rPr>
          <w:b/>
          <w:bCs/>
          <w:sz w:val="24"/>
          <w:szCs w:val="24"/>
        </w:rPr>
        <w:t>zespół pałacowo-parkowy Rodziny Rembielińskich</w:t>
      </w:r>
      <w:r w:rsidRPr="00FA2B49">
        <w:rPr>
          <w:sz w:val="24"/>
          <w:szCs w:val="24"/>
        </w:rPr>
        <w:t xml:space="preserve"> (ul. Toruńska 7) wraz z reprezentacyjnym parkiem i elementami wpisanymi do rejestru (pałac, park, kordegarda, oranżeria, obelisk poświęcony pamięci ks. J. Poniatowskiego). Pałac stanowi dominantę kompozycji, a park – z czytelną osią północ–południe, historycznymi alejami i ważnymi nasadzeniami drzew – tworzy cenny fragment zielonej infrastruktury w centrum miasta. W obrębie parku zachowały się elementy takie jak historyczny staw i obelisk oraz bogaty drzewostan, które przy właściwej konserwacji i uporządkowaniu mogą stać się jądrem nowej, dostępnej przestrzeni publicznej o charakterze miejskiego parku rekreacyjno-kulturowego (ścieżki spacerowe, mała infrastruktura wypoczynkowa, elementy małej architektury, edukacja przyrodnicza i historyczna). Realizacja takiej rewitalizacji powinna przebiegać pod ścisłym nadzorem Wojewódzkiego Konserwatora Zabytków i zgodnie z zasadami konserwatorskimi (zasada „po pierwsze nie szkodzi”, poszanowanie substancji zabytkowej, minimalna ingerencja), a plan działań powinien obejmować program pielęgnacji drzewostanu, odtworzenie czytelnych osi i alei, rekultywację stawu zabytkowego oraz zapewnienie bezpiecznej, przyjaznej dostępności (pochylnie, oświetlenie, ławki) przy zachowaniu wartości kompozycyjnej i ekologicznej parku</w:t>
      </w:r>
      <w:r>
        <w:rPr>
          <w:sz w:val="24"/>
          <w:szCs w:val="24"/>
        </w:rPr>
        <w:t>.</w:t>
      </w:r>
    </w:p>
    <w:p w14:paraId="6EF48377" w14:textId="6AA137C8" w:rsidR="00FA2B49" w:rsidRDefault="00FA2B49" w:rsidP="00FA2B49">
      <w:pPr>
        <w:spacing w:before="120" w:after="0" w:line="264" w:lineRule="auto"/>
        <w:rPr>
          <w:sz w:val="24"/>
          <w:szCs w:val="24"/>
        </w:rPr>
      </w:pPr>
      <w:r w:rsidRPr="00FA2B49">
        <w:rPr>
          <w:sz w:val="24"/>
          <w:szCs w:val="24"/>
        </w:rPr>
        <w:t xml:space="preserve">Pałac Rembielińskich, po długotrwałym użytkowaniu jako siedziba szkoły, obecnie pozostaje w rękach gminy jako pustostan i stoi wśród kluczowych wyzwań i szans rewitalizacyjnych: dokumentacja gminna wskazuje, że budowla zachowała stosunkowo dobry stan techniczny, choć wymaga prac remontowych i dostosowania nowej funkcji. Pałac — ze względu na wartość historyczną, lokalizację i powiązanie z otaczającym parkiem — </w:t>
      </w:r>
      <w:r w:rsidRPr="00FA2B49">
        <w:rPr>
          <w:b/>
          <w:bCs/>
          <w:sz w:val="24"/>
          <w:szCs w:val="24"/>
        </w:rPr>
        <w:t>ma wysoki potencjał adaptacyjny</w:t>
      </w:r>
      <w:r w:rsidRPr="00FA2B49">
        <w:rPr>
          <w:sz w:val="24"/>
          <w:szCs w:val="24"/>
        </w:rPr>
        <w:t xml:space="preserve">: możliwe funkcje to centrum kultury i edukacji (ekspozycja muzealna, przestrzeń wystawiennicza, pracownie rzemiosła), siedziba instytucji kulturalnych, centrum eventowe, czy też funkcja </w:t>
      </w:r>
      <w:r>
        <w:rPr>
          <w:sz w:val="24"/>
          <w:szCs w:val="24"/>
        </w:rPr>
        <w:t>z przeznaczeniem na siedzibę Urzędu Miejskiego</w:t>
      </w:r>
      <w:r w:rsidRPr="00FA2B49">
        <w:rPr>
          <w:sz w:val="24"/>
          <w:szCs w:val="24"/>
        </w:rPr>
        <w:t>). Każdy wariant powinien być poprzedzony szczegółową inwentaryzacją konserwatorską, oceną techniczną, analizą finansowo-funkcjonalną i konsultacjami społecznymi, a wdrożenie adaptacji musi respektować wytyczne konserwatorskie oraz zapewniać współfinansowanie (programy krajowe i regionalne, dotacje MKiDN, środki UE)</w:t>
      </w:r>
      <w:r>
        <w:rPr>
          <w:sz w:val="24"/>
          <w:szCs w:val="24"/>
        </w:rPr>
        <w:t xml:space="preserve">. </w:t>
      </w:r>
    </w:p>
    <w:p w14:paraId="3611B4B7" w14:textId="1E50D88F" w:rsidR="00FA2B49" w:rsidRDefault="00FA2B49">
      <w:pPr>
        <w:spacing w:before="120" w:after="0" w:line="264" w:lineRule="auto"/>
        <w:rPr>
          <w:sz w:val="24"/>
          <w:szCs w:val="24"/>
        </w:rPr>
      </w:pPr>
      <w:r w:rsidRPr="00FA2B49">
        <w:rPr>
          <w:sz w:val="24"/>
          <w:szCs w:val="24"/>
        </w:rPr>
        <w:t>Z punktu widzenia rewitalizacji priorytetem powinno być zatem podjęcie skoordynowanego projektu pałacowo-parkowego, obejmującego: (i) remont i adaptację pałacu z jasno określoną, wielofunkcyjną koncepcją użytkowania służącą mieszkańcom i turystyce; (ii) kompleksową rewaloryzację parku i stawu, przywracającą czytelność kompozycji, poprawiającą retencję i bioróżnorodność oraz tworzącą dostępne przestrzenie rekreacji; (iii) działania uzupełniające — uporządkowanie otoczenia, poprawę powiązań pieszych i rowerowych z centrum miasta i atrakcjami (muzeum, kolejka wąskotorowa), uruchomienie programu wydarzeń kulturalnych i edukacyjnych oraz powiązanie inwestycji z instrumentami finansowania zewnętrznego. Wszystkie prace powinny być planowane i realizowane w partnerstwie urzędu, Wojewódzkiego Konserwatora Zabytków, lokalnych instytucji kultury i środowisk społecznych, aby zagwarantować trwałe efekty społeczno-kulturowe i ekonomiczne oraz poszanowanie wartości zabytkowych gminnego zasobu</w:t>
      </w:r>
    </w:p>
    <w:p w14:paraId="6B0584B6" w14:textId="6E4087FA" w:rsidR="00CA3F78" w:rsidRDefault="00764192">
      <w:pPr>
        <w:spacing w:before="120" w:after="0" w:line="264" w:lineRule="auto"/>
        <w:rPr>
          <w:sz w:val="24"/>
          <w:szCs w:val="24"/>
        </w:rPr>
      </w:pPr>
      <w:r>
        <w:rPr>
          <w:sz w:val="24"/>
          <w:szCs w:val="24"/>
        </w:rPr>
        <w:t xml:space="preserve">Obowiązkowym elementem programu rewitalizacji jest analiza potencjałów, która obejmuje zbadanie roli różnych przejawów dziedzictwa w budowaniu tożsamości mieszkańców obszaru rewitalizacji. Zabytki w procesie rewitalizacji </w:t>
      </w:r>
      <w:r w:rsidR="000A4EFE">
        <w:rPr>
          <w:sz w:val="24"/>
          <w:szCs w:val="24"/>
        </w:rPr>
        <w:t>odgrywają</w:t>
      </w:r>
      <w:r>
        <w:rPr>
          <w:sz w:val="24"/>
          <w:szCs w:val="24"/>
        </w:rPr>
        <w:t xml:space="preserve"> bardzo ważną rolę, są endogennym </w:t>
      </w:r>
      <w:r>
        <w:rPr>
          <w:sz w:val="24"/>
          <w:szCs w:val="24"/>
        </w:rPr>
        <w:lastRenderedPageBreak/>
        <w:t xml:space="preserve">potencjałem naszej miejscowości, zasobem nieodnawialnym, źródłem tożsamości lokalnej, jednym z najważniejszych elementów składających się na </w:t>
      </w:r>
      <w:r>
        <w:rPr>
          <w:i/>
          <w:iCs/>
          <w:sz w:val="24"/>
          <w:szCs w:val="24"/>
        </w:rPr>
        <w:t>genius loci</w:t>
      </w:r>
      <w:r>
        <w:rPr>
          <w:sz w:val="24"/>
          <w:szCs w:val="24"/>
        </w:rPr>
        <w:t xml:space="preserve"> obszaru rewitalizacji, którego odkrycie jest koniecznym krokiem podczas wyprowadzania obszaru wymagającego naszej interwencji ze stanu kryzysowego. W przedmiotowej analizie dokonano zatem zaklasyfikowania wskaźnika pokazującego większą liczbę zabytków jako destymulanta, lecz pokazującego jednak potencjał do dalszego rozwoju gminy w oparciu o taką infrastrukturę. Analiza wskaźnika zagęszczenia zabytków (</w:t>
      </w:r>
      <w:r w:rsidR="00A93357" w:rsidRPr="00764192">
        <w:rPr>
          <w:sz w:val="24"/>
          <w:szCs w:val="24"/>
        </w:rPr>
        <w:t xml:space="preserve">Liczba obiektów zabytkowych ujętych w Gminnej </w:t>
      </w:r>
      <w:r w:rsidR="004449A9" w:rsidRPr="00764192">
        <w:rPr>
          <w:sz w:val="24"/>
          <w:szCs w:val="24"/>
        </w:rPr>
        <w:t xml:space="preserve">ewidencji zabytków </w:t>
      </w:r>
      <w:r w:rsidR="00A93357" w:rsidRPr="00764192">
        <w:rPr>
          <w:sz w:val="24"/>
          <w:szCs w:val="24"/>
        </w:rPr>
        <w:t>na 100 osób</w:t>
      </w:r>
      <w:r>
        <w:rPr>
          <w:sz w:val="24"/>
          <w:szCs w:val="24"/>
        </w:rPr>
        <w:t>) pozwolił</w:t>
      </w:r>
      <w:r w:rsidR="00A93357">
        <w:rPr>
          <w:sz w:val="24"/>
          <w:szCs w:val="24"/>
        </w:rPr>
        <w:t>a</w:t>
      </w:r>
      <w:r>
        <w:rPr>
          <w:sz w:val="24"/>
          <w:szCs w:val="24"/>
        </w:rPr>
        <w:t xml:space="preserve"> na wskazanie </w:t>
      </w:r>
      <w:proofErr w:type="gramStart"/>
      <w:r>
        <w:rPr>
          <w:sz w:val="24"/>
          <w:szCs w:val="24"/>
        </w:rPr>
        <w:t>miejsc</w:t>
      </w:r>
      <w:proofErr w:type="gramEnd"/>
      <w:r>
        <w:rPr>
          <w:sz w:val="24"/>
          <w:szCs w:val="24"/>
        </w:rPr>
        <w:t xml:space="preserve"> gdzie natężenie problemów technicznych i funkcjonalnych będzie wyższe niż w pozostałych częściach gminy. </w:t>
      </w:r>
      <w:bookmarkEnd w:id="161"/>
    </w:p>
    <w:p w14:paraId="6607CBB4" w14:textId="7ABBBD8D" w:rsidR="00FA2B49" w:rsidRDefault="00FA2B49" w:rsidP="008100D8">
      <w:pPr>
        <w:spacing w:before="120" w:after="0" w:line="264" w:lineRule="auto"/>
        <w:rPr>
          <w:sz w:val="24"/>
          <w:szCs w:val="24"/>
        </w:rPr>
      </w:pPr>
      <w:r w:rsidRPr="00FA2B49">
        <w:rPr>
          <w:sz w:val="24"/>
          <w:szCs w:val="24"/>
        </w:rPr>
        <w:t xml:space="preserve">W ramach analizy natężenia problemów przestrzenno-funkcjonalno-technicznych posłużono się dwoma wskaźnikami jakościowymi: </w:t>
      </w:r>
      <w:r w:rsidRPr="00FA2B49">
        <w:rPr>
          <w:b/>
          <w:bCs/>
          <w:sz w:val="24"/>
          <w:szCs w:val="24"/>
        </w:rPr>
        <w:t>oceną stanu infrastruktury drogowej</w:t>
      </w:r>
      <w:r w:rsidRPr="00FA2B49">
        <w:rPr>
          <w:sz w:val="24"/>
          <w:szCs w:val="24"/>
        </w:rPr>
        <w:t xml:space="preserve"> oraz </w:t>
      </w:r>
      <w:r w:rsidRPr="00FA2B49">
        <w:rPr>
          <w:b/>
          <w:bCs/>
          <w:sz w:val="24"/>
          <w:szCs w:val="24"/>
        </w:rPr>
        <w:t>oceną poziomu zdegradowania terenów zieleni publicznej.</w:t>
      </w:r>
      <w:r w:rsidRPr="00FA2B49">
        <w:rPr>
          <w:sz w:val="24"/>
          <w:szCs w:val="24"/>
        </w:rPr>
        <w:t xml:space="preserve"> W wyniku oceny wyodrębniono jako obszary problemowe przede wszystkim fragmenty miasta, na których powstają nowe osiedla mieszkaniowe, a infrastruktura drogowa nie nadąża za zabudową — brak jest w nich kompletnej sieci dojazdowej, chodników, oświetlenia i odwodnienia, co pogarsza dostępność, bezpieczeństwo i komfort użytkowania oraz zwiększa presję na istniejące ciągi komunikacyjne. Ponadto część terenów wiejskich wykazuje istotne problemy funkcjonalno-techniczne (rozproszone zabudowania, słabe powiązania drogowe, zaniedbane lub zdewastowane przestrzenie zielone), które w połączeniu z niską dostępnością usług i infrastrukturą techniczną potęgują ryzyko marginalizacji przestrzennej. W konsekwencji rekomenduje się ukierunkowane działania — priorytetowe uzupełnienie braków drogowych i odwodnieniowych na nowych osiedlach miejskich oraz rewitalizację i porządkowanie terenów zieleni</w:t>
      </w:r>
      <w:r w:rsidR="00B71EEB">
        <w:rPr>
          <w:sz w:val="24"/>
          <w:szCs w:val="24"/>
        </w:rPr>
        <w:t xml:space="preserve"> szczególnie w centrum Gminy poprzez </w:t>
      </w:r>
      <w:r w:rsidR="00B71EEB" w:rsidRPr="00B71EEB">
        <w:rPr>
          <w:b/>
          <w:bCs/>
          <w:sz w:val="24"/>
          <w:szCs w:val="24"/>
        </w:rPr>
        <w:t>rewitalizację parku miejskiego</w:t>
      </w:r>
      <w:r w:rsidRPr="00FA2B49">
        <w:rPr>
          <w:sz w:val="24"/>
          <w:szCs w:val="24"/>
        </w:rPr>
        <w:t xml:space="preserve"> i lokalnej sieci dróg na wskazanych obszarach wiejskich.</w:t>
      </w:r>
    </w:p>
    <w:p w14:paraId="4C6CFC39" w14:textId="073BC832" w:rsidR="00982F17" w:rsidRDefault="00982F17" w:rsidP="008100D8">
      <w:pPr>
        <w:spacing w:before="120" w:after="0" w:line="264" w:lineRule="auto"/>
        <w:rPr>
          <w:sz w:val="24"/>
          <w:szCs w:val="24"/>
        </w:rPr>
      </w:pPr>
      <w:r>
        <w:rPr>
          <w:sz w:val="24"/>
          <w:szCs w:val="24"/>
        </w:rPr>
        <w:t>D</w:t>
      </w:r>
      <w:r w:rsidR="008B3735">
        <w:rPr>
          <w:sz w:val="24"/>
          <w:szCs w:val="24"/>
        </w:rPr>
        <w:t xml:space="preserve">o analizy uwarunkowań technicznych przyjęto </w:t>
      </w:r>
      <w:r>
        <w:rPr>
          <w:sz w:val="24"/>
          <w:szCs w:val="24"/>
        </w:rPr>
        <w:t xml:space="preserve">również </w:t>
      </w:r>
      <w:r w:rsidR="008B3735">
        <w:rPr>
          <w:sz w:val="24"/>
          <w:szCs w:val="24"/>
        </w:rPr>
        <w:t xml:space="preserve">dane </w:t>
      </w:r>
      <w:r w:rsidR="00F678D9">
        <w:rPr>
          <w:sz w:val="24"/>
          <w:szCs w:val="24"/>
        </w:rPr>
        <w:t xml:space="preserve">dotyczące </w:t>
      </w:r>
      <w:r w:rsidR="00F678D9" w:rsidRPr="00280136">
        <w:rPr>
          <w:b/>
          <w:bCs/>
          <w:sz w:val="24"/>
          <w:szCs w:val="24"/>
        </w:rPr>
        <w:t>liczby</w:t>
      </w:r>
      <w:r w:rsidR="008B3735" w:rsidRPr="00280136">
        <w:rPr>
          <w:b/>
          <w:bCs/>
          <w:sz w:val="24"/>
          <w:szCs w:val="24"/>
        </w:rPr>
        <w:t xml:space="preserve"> kolizji </w:t>
      </w:r>
      <w:proofErr w:type="gramStart"/>
      <w:r w:rsidR="008B3735" w:rsidRPr="00280136">
        <w:rPr>
          <w:b/>
          <w:bCs/>
          <w:sz w:val="24"/>
          <w:szCs w:val="24"/>
        </w:rPr>
        <w:t>drogowych</w:t>
      </w:r>
      <w:r w:rsidR="00F678D9" w:rsidRPr="00280136">
        <w:rPr>
          <w:b/>
          <w:bCs/>
          <w:sz w:val="24"/>
          <w:szCs w:val="24"/>
        </w:rPr>
        <w:t>,</w:t>
      </w:r>
      <w:r w:rsidR="00F678D9">
        <w:rPr>
          <w:sz w:val="24"/>
          <w:szCs w:val="24"/>
        </w:rPr>
        <w:t xml:space="preserve"> </w:t>
      </w:r>
      <w:r w:rsidR="008B3735">
        <w:rPr>
          <w:sz w:val="24"/>
          <w:szCs w:val="24"/>
        </w:rPr>
        <w:t xml:space="preserve"> pozyskan</w:t>
      </w:r>
      <w:r w:rsidR="00F678D9">
        <w:rPr>
          <w:sz w:val="24"/>
          <w:szCs w:val="24"/>
        </w:rPr>
        <w:t>e</w:t>
      </w:r>
      <w:proofErr w:type="gramEnd"/>
      <w:r w:rsidR="008B3735">
        <w:rPr>
          <w:sz w:val="24"/>
          <w:szCs w:val="24"/>
        </w:rPr>
        <w:t xml:space="preserve"> z </w:t>
      </w:r>
      <w:r w:rsidR="00D50A98" w:rsidRPr="00D50A98">
        <w:rPr>
          <w:sz w:val="24"/>
          <w:szCs w:val="24"/>
        </w:rPr>
        <w:t>Komisariat</w:t>
      </w:r>
      <w:r w:rsidR="00D50A98">
        <w:rPr>
          <w:sz w:val="24"/>
          <w:szCs w:val="24"/>
        </w:rPr>
        <w:t>u</w:t>
      </w:r>
      <w:r w:rsidR="00D50A98" w:rsidRPr="00D50A98">
        <w:rPr>
          <w:sz w:val="24"/>
          <w:szCs w:val="24"/>
        </w:rPr>
        <w:t xml:space="preserve"> Policji w </w:t>
      </w:r>
      <w:r w:rsidR="00280136">
        <w:rPr>
          <w:sz w:val="24"/>
          <w:szCs w:val="24"/>
        </w:rPr>
        <w:t>Krośniewicach</w:t>
      </w:r>
      <w:r w:rsidR="00D50A98">
        <w:rPr>
          <w:sz w:val="24"/>
          <w:szCs w:val="24"/>
        </w:rPr>
        <w:t xml:space="preserve"> </w:t>
      </w:r>
      <w:r w:rsidR="00F678D9">
        <w:rPr>
          <w:sz w:val="24"/>
          <w:szCs w:val="24"/>
        </w:rPr>
        <w:t>obejmujące</w:t>
      </w:r>
      <w:r w:rsidR="008B3735">
        <w:rPr>
          <w:sz w:val="24"/>
          <w:szCs w:val="24"/>
        </w:rPr>
        <w:t xml:space="preserve"> </w:t>
      </w:r>
      <w:r w:rsidR="008B3735" w:rsidRPr="008B3735">
        <w:rPr>
          <w:sz w:val="24"/>
          <w:szCs w:val="24"/>
        </w:rPr>
        <w:t>zdarze</w:t>
      </w:r>
      <w:r w:rsidR="00F678D9">
        <w:rPr>
          <w:sz w:val="24"/>
          <w:szCs w:val="24"/>
        </w:rPr>
        <w:t>nia</w:t>
      </w:r>
      <w:r w:rsidR="008B3735" w:rsidRPr="008B3735">
        <w:rPr>
          <w:sz w:val="24"/>
          <w:szCs w:val="24"/>
        </w:rPr>
        <w:t xml:space="preserve"> drogow</w:t>
      </w:r>
      <w:r w:rsidR="00F678D9">
        <w:rPr>
          <w:sz w:val="24"/>
          <w:szCs w:val="24"/>
        </w:rPr>
        <w:t>e, które miały miejsce</w:t>
      </w:r>
      <w:r w:rsidR="008B3735" w:rsidRPr="008B3735">
        <w:rPr>
          <w:sz w:val="24"/>
          <w:szCs w:val="24"/>
        </w:rPr>
        <w:t xml:space="preserve"> w 202</w:t>
      </w:r>
      <w:r w:rsidR="00A93357">
        <w:rPr>
          <w:sz w:val="24"/>
          <w:szCs w:val="24"/>
        </w:rPr>
        <w:t>4</w:t>
      </w:r>
      <w:r w:rsidR="008B3735" w:rsidRPr="008B3735">
        <w:rPr>
          <w:sz w:val="24"/>
          <w:szCs w:val="24"/>
        </w:rPr>
        <w:t xml:space="preserve"> roku na terenie gminy</w:t>
      </w:r>
      <w:r w:rsidR="00F678D9">
        <w:rPr>
          <w:sz w:val="24"/>
          <w:szCs w:val="24"/>
        </w:rPr>
        <w:t>,</w:t>
      </w:r>
      <w:r w:rsidR="008B3735" w:rsidRPr="008B3735">
        <w:rPr>
          <w:sz w:val="24"/>
          <w:szCs w:val="24"/>
        </w:rPr>
        <w:t xml:space="preserve"> z podziałem na miejscowości ich zaistnieni</w:t>
      </w:r>
      <w:r w:rsidR="008100D8">
        <w:rPr>
          <w:sz w:val="24"/>
          <w:szCs w:val="24"/>
        </w:rPr>
        <w:t xml:space="preserve">a. </w:t>
      </w:r>
      <w:r>
        <w:rPr>
          <w:sz w:val="24"/>
          <w:szCs w:val="24"/>
        </w:rPr>
        <w:t>Na potrzeby wyznaczenia obszaru zdegradowanego przyjęto wskaźnik odnoszący t</w:t>
      </w:r>
      <w:r w:rsidR="00F678D9">
        <w:rPr>
          <w:sz w:val="24"/>
          <w:szCs w:val="24"/>
        </w:rPr>
        <w:t>ę</w:t>
      </w:r>
      <w:r>
        <w:rPr>
          <w:sz w:val="24"/>
          <w:szCs w:val="24"/>
        </w:rPr>
        <w:t xml:space="preserve"> liczbę do liczby ludności danego sołectwa (</w:t>
      </w:r>
      <w:r w:rsidRPr="008B3735">
        <w:rPr>
          <w:sz w:val="24"/>
          <w:szCs w:val="24"/>
        </w:rPr>
        <w:t>Liczba kolizji drogowych na 100 osób</w:t>
      </w:r>
      <w:r>
        <w:rPr>
          <w:sz w:val="24"/>
          <w:szCs w:val="24"/>
        </w:rPr>
        <w:t xml:space="preserve">). </w:t>
      </w:r>
      <w:r w:rsidRPr="008100D8">
        <w:rPr>
          <w:sz w:val="24"/>
          <w:szCs w:val="24"/>
        </w:rPr>
        <w:t>Wskaźnik opisujący sytuację w zakresie naruszeń bezpieczeństwa i</w:t>
      </w:r>
      <w:r>
        <w:rPr>
          <w:sz w:val="24"/>
          <w:szCs w:val="24"/>
        </w:rPr>
        <w:t xml:space="preserve"> </w:t>
      </w:r>
      <w:r w:rsidRPr="008100D8">
        <w:rPr>
          <w:sz w:val="24"/>
          <w:szCs w:val="24"/>
        </w:rPr>
        <w:t>prawa drogowego odnoszącą się do liczby zarejestrowanych zdarzeń</w:t>
      </w:r>
      <w:r>
        <w:rPr>
          <w:sz w:val="24"/>
          <w:szCs w:val="24"/>
        </w:rPr>
        <w:t xml:space="preserve"> </w:t>
      </w:r>
      <w:r w:rsidRPr="008100D8">
        <w:rPr>
          <w:sz w:val="24"/>
          <w:szCs w:val="24"/>
        </w:rPr>
        <w:t>drogowych</w:t>
      </w:r>
      <w:r>
        <w:rPr>
          <w:sz w:val="24"/>
          <w:szCs w:val="24"/>
        </w:rPr>
        <w:t>.</w:t>
      </w:r>
      <w:r w:rsidRPr="008100D8">
        <w:rPr>
          <w:sz w:val="24"/>
          <w:szCs w:val="24"/>
        </w:rPr>
        <w:t xml:space="preserve"> </w:t>
      </w:r>
    </w:p>
    <w:p w14:paraId="62BD0FF0" w14:textId="6E8FEBE6" w:rsidR="00280136" w:rsidRPr="00280136" w:rsidRDefault="00280136" w:rsidP="00280136">
      <w:pPr>
        <w:spacing w:before="120" w:after="0" w:line="264" w:lineRule="auto"/>
        <w:rPr>
          <w:sz w:val="24"/>
          <w:szCs w:val="24"/>
        </w:rPr>
      </w:pPr>
      <w:r w:rsidRPr="00280136">
        <w:rPr>
          <w:sz w:val="24"/>
          <w:szCs w:val="24"/>
        </w:rPr>
        <w:t xml:space="preserve">Średnia wartość wskaźnika dla gminy wynosi </w:t>
      </w:r>
      <w:r w:rsidRPr="00280136">
        <w:rPr>
          <w:b/>
          <w:bCs/>
          <w:sz w:val="24"/>
          <w:szCs w:val="24"/>
        </w:rPr>
        <w:t>0,38 zdarzenia na 100 osób</w:t>
      </w:r>
      <w:r w:rsidRPr="00280136">
        <w:rPr>
          <w:sz w:val="24"/>
          <w:szCs w:val="24"/>
        </w:rPr>
        <w:t xml:space="preserve">, co odpowiada łącznie około </w:t>
      </w:r>
      <w:r w:rsidRPr="00280136">
        <w:rPr>
          <w:b/>
          <w:bCs/>
          <w:sz w:val="24"/>
          <w:szCs w:val="24"/>
        </w:rPr>
        <w:t>29 zdarzeniom</w:t>
      </w:r>
      <w:r w:rsidRPr="00280136">
        <w:rPr>
          <w:sz w:val="24"/>
          <w:szCs w:val="24"/>
        </w:rPr>
        <w:t xml:space="preserve"> w roku odniesienia (szacunek wynikający z sumy estymowanych zdarzeń po jednostkach). Analiza przestrzenna wyraźnie identyfikuje kilka „gorących punktów”: pod względem </w:t>
      </w:r>
      <w:r w:rsidRPr="00280136">
        <w:rPr>
          <w:b/>
          <w:bCs/>
          <w:sz w:val="24"/>
          <w:szCs w:val="24"/>
        </w:rPr>
        <w:t>stopy na 100 mieszkańców</w:t>
      </w:r>
      <w:r w:rsidRPr="00280136">
        <w:rPr>
          <w:sz w:val="24"/>
          <w:szCs w:val="24"/>
        </w:rPr>
        <w:t xml:space="preserve"> największe natężenie zanotowano w </w:t>
      </w:r>
      <w:r w:rsidRPr="00280136">
        <w:rPr>
          <w:b/>
          <w:bCs/>
          <w:sz w:val="24"/>
          <w:szCs w:val="24"/>
        </w:rPr>
        <w:t>Woli Nowskiej (1,72/100)</w:t>
      </w:r>
      <w:r w:rsidRPr="00280136">
        <w:rPr>
          <w:sz w:val="24"/>
          <w:szCs w:val="24"/>
        </w:rPr>
        <w:t xml:space="preserve">, </w:t>
      </w:r>
      <w:r w:rsidRPr="00280136">
        <w:rPr>
          <w:b/>
          <w:bCs/>
          <w:sz w:val="24"/>
          <w:szCs w:val="24"/>
        </w:rPr>
        <w:t>Luboradzu (1,64/100)</w:t>
      </w:r>
      <w:r w:rsidRPr="00280136">
        <w:rPr>
          <w:sz w:val="24"/>
          <w:szCs w:val="24"/>
        </w:rPr>
        <w:t xml:space="preserve">, </w:t>
      </w:r>
      <w:r w:rsidRPr="00280136">
        <w:rPr>
          <w:b/>
          <w:bCs/>
          <w:sz w:val="24"/>
          <w:szCs w:val="24"/>
        </w:rPr>
        <w:t>Teresinie (1,03/100)</w:t>
      </w:r>
      <w:r w:rsidRPr="00280136">
        <w:rPr>
          <w:sz w:val="24"/>
          <w:szCs w:val="24"/>
        </w:rPr>
        <w:t xml:space="preserve">, </w:t>
      </w:r>
      <w:r w:rsidRPr="00280136">
        <w:rPr>
          <w:b/>
          <w:bCs/>
          <w:sz w:val="24"/>
          <w:szCs w:val="24"/>
        </w:rPr>
        <w:t>Osiedlu nr 4 (1,01/100)</w:t>
      </w:r>
      <w:r w:rsidRPr="00280136">
        <w:rPr>
          <w:sz w:val="24"/>
          <w:szCs w:val="24"/>
        </w:rPr>
        <w:t xml:space="preserve"> oraz </w:t>
      </w:r>
      <w:r w:rsidRPr="00280136">
        <w:rPr>
          <w:b/>
          <w:bCs/>
          <w:sz w:val="24"/>
          <w:szCs w:val="24"/>
        </w:rPr>
        <w:t>Zalesiu (1,12/100)</w:t>
      </w:r>
      <w:r w:rsidRPr="00280136">
        <w:rPr>
          <w:sz w:val="24"/>
          <w:szCs w:val="24"/>
        </w:rPr>
        <w:t xml:space="preserve"> i </w:t>
      </w:r>
      <w:r w:rsidRPr="00280136">
        <w:rPr>
          <w:b/>
          <w:bCs/>
          <w:sz w:val="24"/>
          <w:szCs w:val="24"/>
        </w:rPr>
        <w:t>Osiedlu nr 3 (0,97/100)</w:t>
      </w:r>
      <w:r w:rsidRPr="00280136">
        <w:rPr>
          <w:sz w:val="24"/>
          <w:szCs w:val="24"/>
        </w:rPr>
        <w:t>. W liczbach bezwzględnych (ważnych przy planowaniu środków) największą liczbę zdarzeń przypisano Osiedlu nr 2 (~6 zdarzeń), a następnie Osiedlu nr 1, Osiedlu nr 3 i Woli Nowskiej (po ~3 zdarzenia każda) — co pokazuje, że zarówno wysoka populacja, jak i wysoka stopa na 100 mieszkańców wpływają na skalę problemu. Równocześnie znaczna część sołectw wykazuje wartość 0,00/100 (brak zarejestrowanych zdarzeń w danym roku), co może oznaczać rzeczywistą niską liczbę zdarzeń drogowych lub efekt niewielkiej liczby mieszkańców i w związku z tym brak zdarzeń absolutnych w okresie analizowanym (dane źródłowe: tabela jednostek)</w:t>
      </w:r>
      <w:r>
        <w:rPr>
          <w:sz w:val="24"/>
          <w:szCs w:val="24"/>
        </w:rPr>
        <w:t>.</w:t>
      </w:r>
    </w:p>
    <w:p w14:paraId="0A1946A7" w14:textId="77777777" w:rsidR="00280136" w:rsidRPr="00280136" w:rsidRDefault="00280136" w:rsidP="00280136">
      <w:pPr>
        <w:spacing w:before="120" w:after="0" w:line="264" w:lineRule="auto"/>
        <w:rPr>
          <w:sz w:val="24"/>
          <w:szCs w:val="24"/>
        </w:rPr>
      </w:pPr>
      <w:r w:rsidRPr="00280136">
        <w:rPr>
          <w:sz w:val="24"/>
          <w:szCs w:val="24"/>
        </w:rPr>
        <w:t xml:space="preserve">Z punktu widzenia bezpieczeństwa drogowego wyniki wskazują na dwa typy problemów: (1) </w:t>
      </w:r>
      <w:r w:rsidRPr="00280136">
        <w:rPr>
          <w:b/>
          <w:bCs/>
          <w:sz w:val="24"/>
          <w:szCs w:val="24"/>
        </w:rPr>
        <w:t>miejska koncentracja ryzyka</w:t>
      </w:r>
      <w:r w:rsidRPr="00280136">
        <w:rPr>
          <w:sz w:val="24"/>
          <w:szCs w:val="24"/>
        </w:rPr>
        <w:t xml:space="preserve">, gdzie osiedla o większej gęstości ruchu i większym natężeniu aktywności </w:t>
      </w:r>
      <w:r w:rsidRPr="00280136">
        <w:rPr>
          <w:sz w:val="24"/>
          <w:szCs w:val="24"/>
        </w:rPr>
        <w:lastRenderedPageBreak/>
        <w:t xml:space="preserve">(Osiedla nr 1–4) notują istotną liczbę zdarzeń i wymagają działań systemowych w obszarze przestrzeni publicznej i zarządzania ruchem; oraz (2) </w:t>
      </w:r>
      <w:r w:rsidRPr="00280136">
        <w:rPr>
          <w:b/>
          <w:bCs/>
          <w:sz w:val="24"/>
          <w:szCs w:val="24"/>
        </w:rPr>
        <w:t>wiejsko-punktowe ogniska ryzyka</w:t>
      </w:r>
      <w:r w:rsidRPr="00280136">
        <w:rPr>
          <w:sz w:val="24"/>
          <w:szCs w:val="24"/>
        </w:rPr>
        <w:t>, gdzie niewielkie miejscowości o relatywnie wysokiej stopie (np. Wola Nowska, Luboradz, Zalesie, Teresin) mogą być dotknięte problemami lokalnymi — niebezpieczne odcinki, skrzyżowania o złej geometrii, brak chodników/ oświetlenia, a także przejeżdżający ruch tranzytowy. Interpretacja powinna łączyć wskaźnik z liczbami bezwzględnymi i kontekstem (typ drogi, natężenie ruchu, udział ruchu ciężkiego, bliskość szkół czy skrzyżowań), ponieważ wysoki wskaźnik w małej miejscowości może odpowiadać tylko kilku kolizjom, natomiast umiarkowany wskaźnik w dużym osiedlu może oznaczać większą liczbę zdarzeń realnych i większy wpływ na bezpieczeństwo mieszkańców.</w:t>
      </w:r>
    </w:p>
    <w:p w14:paraId="1A555694" w14:textId="1D4F89BA" w:rsidR="00280136" w:rsidRDefault="00280136" w:rsidP="008100D8">
      <w:pPr>
        <w:spacing w:before="120" w:after="0" w:line="264" w:lineRule="auto"/>
        <w:rPr>
          <w:sz w:val="24"/>
          <w:szCs w:val="24"/>
        </w:rPr>
      </w:pPr>
      <w:r w:rsidRPr="00280136">
        <w:rPr>
          <w:sz w:val="24"/>
          <w:szCs w:val="24"/>
        </w:rPr>
        <w:t xml:space="preserve">Rekomendacje praktyczne wynikające z analizy obejmują: przeprowadzenie </w:t>
      </w:r>
      <w:r w:rsidRPr="00280136">
        <w:rPr>
          <w:b/>
          <w:bCs/>
          <w:sz w:val="24"/>
          <w:szCs w:val="24"/>
        </w:rPr>
        <w:t>szczegółowych audytów bezpieczeństwa ruchu drogowego</w:t>
      </w:r>
      <w:r w:rsidRPr="00280136">
        <w:rPr>
          <w:sz w:val="24"/>
          <w:szCs w:val="24"/>
        </w:rPr>
        <w:t xml:space="preserve"> w jednostkach o najwyższych wskaźnikach (mapowanie odcinków i punktów kolizyjnych), wdrożenie środków inżynieryjnych (poprawa geometrii skrzyżowań, progi zwalniające, pasy zwolnień, chodniki, wyraźne przejścia dla pieszych, oświetlenie), zastosowanie działań organizacyjnych i egzekucyjnych (ograniczenia prędkości, monitoring, częstsze patrole Policji, kampanie edukacyjne), oraz działania miękkie (programy edukacji bezpieczeństwa w szkołach, akcje dla kierowców). Równolegle rekomendowane jest uzupełnienie analizy o </w:t>
      </w:r>
      <w:r w:rsidRPr="00280136">
        <w:rPr>
          <w:b/>
          <w:bCs/>
          <w:sz w:val="24"/>
          <w:szCs w:val="24"/>
        </w:rPr>
        <w:t>szczegółowe dane</w:t>
      </w:r>
      <w:r w:rsidRPr="00280136">
        <w:rPr>
          <w:sz w:val="24"/>
          <w:szCs w:val="24"/>
        </w:rPr>
        <w:t>: lokalizacje punktowe zdarzeń, przyczyny (np. nadmierna prędkość, alkohol, brak pierwszeństwa), pora dnia i udział pieszych/rowerzystów — to umożliwi precyzyjne zaprojektowanie interwencji i ocenę ich skuteczności przy kolejnych pomiarach.</w:t>
      </w:r>
    </w:p>
    <w:p w14:paraId="30CB99BD" w14:textId="4101530F" w:rsidR="00EC2434" w:rsidRPr="00EC2434" w:rsidRDefault="00EC2434" w:rsidP="00EC2434">
      <w:pPr>
        <w:spacing w:before="120" w:after="0" w:line="264" w:lineRule="auto"/>
        <w:rPr>
          <w:sz w:val="24"/>
          <w:szCs w:val="24"/>
        </w:rPr>
      </w:pPr>
      <w:r w:rsidRPr="00EC2434">
        <w:rPr>
          <w:sz w:val="24"/>
          <w:szCs w:val="24"/>
        </w:rPr>
        <w:t xml:space="preserve">Średnie wartości obu wskaźników są niepokojąco powyżej poziomu „1” — dla </w:t>
      </w:r>
      <w:r w:rsidRPr="00EC2434">
        <w:rPr>
          <w:b/>
          <w:bCs/>
          <w:sz w:val="24"/>
          <w:szCs w:val="24"/>
        </w:rPr>
        <w:t>degradacji obiektów mieszkalnych</w:t>
      </w:r>
      <w:r w:rsidRPr="00EC2434">
        <w:rPr>
          <w:sz w:val="24"/>
          <w:szCs w:val="24"/>
        </w:rPr>
        <w:t xml:space="preserve"> średnia wynosi </w:t>
      </w:r>
      <w:r w:rsidRPr="00EC2434">
        <w:rPr>
          <w:b/>
          <w:bCs/>
          <w:sz w:val="24"/>
          <w:szCs w:val="24"/>
        </w:rPr>
        <w:t>2,14</w:t>
      </w:r>
      <w:r w:rsidRPr="00EC2434">
        <w:rPr>
          <w:sz w:val="24"/>
          <w:szCs w:val="24"/>
        </w:rPr>
        <w:t xml:space="preserve">, a dla </w:t>
      </w:r>
      <w:r w:rsidRPr="00EC2434">
        <w:rPr>
          <w:b/>
          <w:bCs/>
          <w:sz w:val="24"/>
          <w:szCs w:val="24"/>
        </w:rPr>
        <w:t>niewystarczającego wyposażenia w infrastrukturę techniczną i społeczną</w:t>
      </w:r>
      <w:r w:rsidRPr="00EC2434">
        <w:rPr>
          <w:sz w:val="24"/>
          <w:szCs w:val="24"/>
        </w:rPr>
        <w:t xml:space="preserve"> — </w:t>
      </w:r>
      <w:r w:rsidRPr="00EC2434">
        <w:rPr>
          <w:b/>
          <w:bCs/>
          <w:sz w:val="24"/>
          <w:szCs w:val="24"/>
        </w:rPr>
        <w:t>2,21</w:t>
      </w:r>
      <w:r w:rsidRPr="00EC2434">
        <w:rPr>
          <w:sz w:val="24"/>
          <w:szCs w:val="24"/>
        </w:rPr>
        <w:t xml:space="preserve">, co oznacza przeważnie stan </w:t>
      </w:r>
      <w:r w:rsidRPr="00EC2434">
        <w:rPr>
          <w:b/>
          <w:bCs/>
          <w:sz w:val="24"/>
          <w:szCs w:val="24"/>
        </w:rPr>
        <w:t>umiarkowany</w:t>
      </w:r>
      <w:r w:rsidRPr="00EC2434">
        <w:rPr>
          <w:sz w:val="24"/>
          <w:szCs w:val="24"/>
        </w:rPr>
        <w:t xml:space="preserve"> ze skumulowanymi punktowymi problemami (skala 1–3, gdzie 3 = najsilniejsze problemy)</w:t>
      </w:r>
      <w:r>
        <w:rPr>
          <w:sz w:val="24"/>
          <w:szCs w:val="24"/>
        </w:rPr>
        <w:t xml:space="preserve">. </w:t>
      </w:r>
      <w:r w:rsidRPr="00EC2434">
        <w:rPr>
          <w:sz w:val="24"/>
          <w:szCs w:val="24"/>
        </w:rPr>
        <w:t xml:space="preserve">Najwyższe natężenie problemów widoczne jest w przestrzeni miejskiej: </w:t>
      </w:r>
      <w:r w:rsidRPr="00EC2434">
        <w:rPr>
          <w:b/>
          <w:bCs/>
          <w:sz w:val="24"/>
          <w:szCs w:val="24"/>
        </w:rPr>
        <w:t>Osiedle nr 1 i Osiedle nr 2</w:t>
      </w:r>
      <w:r w:rsidRPr="00EC2434">
        <w:rPr>
          <w:sz w:val="24"/>
          <w:szCs w:val="24"/>
        </w:rPr>
        <w:t xml:space="preserve"> uzyskały maksymalne oceny (3/3) zarówno dla degradacji budynków, jak i braków infrastruktury, co wskazuje na pilną potrzebę kompleksowych działań rewitalizacyjnych w śródmieściu. Jako odrębny wzorzec wypada </w:t>
      </w:r>
      <w:r w:rsidRPr="00EC2434">
        <w:rPr>
          <w:b/>
          <w:bCs/>
          <w:sz w:val="24"/>
          <w:szCs w:val="24"/>
        </w:rPr>
        <w:t>Osiedle nr 5</w:t>
      </w:r>
      <w:r w:rsidRPr="00EC2434">
        <w:rPr>
          <w:sz w:val="24"/>
          <w:szCs w:val="24"/>
        </w:rPr>
        <w:t>, które ma relatywnie korzystny stan techniczny budynków (1) przy jednoczesnym istotnym deficycie infrastruktury społecznej i technicznej (3) — stąd tu należy koncentrować inwestycje infrastrukturalne, by nie dopuścić do późniejszej degradacji zasobu mieszkaniowego.</w:t>
      </w:r>
    </w:p>
    <w:p w14:paraId="0DD5B2E4" w14:textId="77777777" w:rsidR="00EC2434" w:rsidRPr="00EC2434" w:rsidRDefault="00EC2434" w:rsidP="00EC2434">
      <w:pPr>
        <w:spacing w:before="120" w:after="0" w:line="264" w:lineRule="auto"/>
        <w:rPr>
          <w:sz w:val="24"/>
          <w:szCs w:val="24"/>
        </w:rPr>
      </w:pPr>
      <w:r w:rsidRPr="00EC2434">
        <w:rPr>
          <w:sz w:val="24"/>
          <w:szCs w:val="24"/>
        </w:rPr>
        <w:t xml:space="preserve">W części wiejskiej większość sołectw oceniono na poziomie umiarkowanym (2/2), co oznacza rozproszone, ale stałe potrzeby modernizacyjne; wyjątki to </w:t>
      </w:r>
      <w:r w:rsidRPr="00EC2434">
        <w:rPr>
          <w:b/>
          <w:bCs/>
          <w:sz w:val="24"/>
          <w:szCs w:val="24"/>
        </w:rPr>
        <w:t>Nowe</w:t>
      </w:r>
      <w:r w:rsidRPr="00EC2434">
        <w:rPr>
          <w:sz w:val="24"/>
          <w:szCs w:val="24"/>
        </w:rPr>
        <w:t xml:space="preserve"> (3/3) oraz </w:t>
      </w:r>
      <w:r w:rsidRPr="00EC2434">
        <w:rPr>
          <w:b/>
          <w:bCs/>
          <w:sz w:val="24"/>
          <w:szCs w:val="24"/>
        </w:rPr>
        <w:t>Teresin</w:t>
      </w:r>
      <w:r w:rsidRPr="00EC2434">
        <w:rPr>
          <w:sz w:val="24"/>
          <w:szCs w:val="24"/>
        </w:rPr>
        <w:t xml:space="preserve"> i </w:t>
      </w:r>
      <w:r w:rsidRPr="00EC2434">
        <w:rPr>
          <w:b/>
          <w:bCs/>
          <w:sz w:val="24"/>
          <w:szCs w:val="24"/>
        </w:rPr>
        <w:t>Witów</w:t>
      </w:r>
      <w:r w:rsidRPr="00EC2434">
        <w:rPr>
          <w:sz w:val="24"/>
          <w:szCs w:val="24"/>
        </w:rPr>
        <w:t xml:space="preserve"> (3 przy wskaźniku degradacji), które należy potraktować jako lokalne „gorące punkty” wymagające pilnej interwencji. W praktyce wyniki te sugerują, że programy naprawcze powinny łączyć remonty i adaptacje budynków mieszkalnych (zwłaszcza w osiedlach o ocenie 3) z równoległym uzupełnieniem infrastruktury społecznej i technicznej (sieci, drogi, oświetlenie, obiekty usługowe) — szczególnie tam, gdzie oba problemy współwystępują.</w:t>
      </w:r>
    </w:p>
    <w:p w14:paraId="060E0AB4" w14:textId="03864361" w:rsidR="00EC2434" w:rsidRDefault="00EC2434" w:rsidP="008100D8">
      <w:pPr>
        <w:spacing w:before="120" w:after="0" w:line="264" w:lineRule="auto"/>
        <w:rPr>
          <w:sz w:val="24"/>
          <w:szCs w:val="24"/>
        </w:rPr>
      </w:pPr>
      <w:r w:rsidRPr="00EC2434">
        <w:rPr>
          <w:sz w:val="24"/>
          <w:szCs w:val="24"/>
        </w:rPr>
        <w:t>Rekomendacja programowa wynikająca z analizy to priorytetowa alokacja środków na: (i) kompleksową rewitalizację Osiedli nr 1–2, (ii) uzupełnienie infrastruktury w Osiedlu nr 5 i Ostałowie oraz (iii) lokalne programy remontowe/termomodernizacyjne w miejscowościach o wysokiej degradacji (Nowe, Teresin, Witów). Równoległe działania diagnostyczne (szczegółowe przeglądy budynków, audyty infrastruktury, konsultacje społeczne) oraz coroczny monitoring wskaźników pozwolą na ocenę efektywności interwencji i korektę priorytetów.</w:t>
      </w:r>
    </w:p>
    <w:p w14:paraId="24EAC46F" w14:textId="77777777" w:rsidR="002E2124" w:rsidRDefault="009871AE" w:rsidP="002E2124">
      <w:pPr>
        <w:shd w:val="clear" w:color="auto" w:fill="FFFFFF" w:themeFill="background1"/>
        <w:spacing w:before="120" w:after="0" w:line="264" w:lineRule="auto"/>
        <w:rPr>
          <w:bCs/>
          <w:sz w:val="24"/>
          <w:szCs w:val="24"/>
        </w:rPr>
      </w:pPr>
      <w:bookmarkStart w:id="162" w:name="_Hlk96777677"/>
      <w:r>
        <w:rPr>
          <w:bCs/>
          <w:sz w:val="24"/>
          <w:szCs w:val="24"/>
        </w:rPr>
        <w:lastRenderedPageBreak/>
        <w:t>W celu oceny natężenia występowania negatywnych zjawisk przestrzenno-funkcjonalno-technicznych dokonano oceny następujących wskaźników z tego zakresu</w:t>
      </w:r>
      <w:bookmarkEnd w:id="162"/>
      <w:r w:rsidR="002E2124">
        <w:rPr>
          <w:bCs/>
          <w:sz w:val="24"/>
          <w:szCs w:val="24"/>
        </w:rPr>
        <w:t>:</w:t>
      </w:r>
    </w:p>
    <w:p w14:paraId="1F440898" w14:textId="100A8218" w:rsidR="00D50A98" w:rsidRDefault="00D50A98" w:rsidP="00D50A98">
      <w:pPr>
        <w:pStyle w:val="Akapitzlist"/>
        <w:numPr>
          <w:ilvl w:val="0"/>
          <w:numId w:val="22"/>
        </w:numPr>
        <w:shd w:val="clear" w:color="auto" w:fill="F2F2F2"/>
        <w:spacing w:before="120" w:after="0" w:line="264" w:lineRule="auto"/>
        <w:rPr>
          <w:bCs/>
          <w:sz w:val="24"/>
          <w:szCs w:val="24"/>
        </w:rPr>
      </w:pPr>
      <w:r w:rsidRPr="00D50A98">
        <w:rPr>
          <w:bCs/>
          <w:sz w:val="24"/>
          <w:szCs w:val="24"/>
        </w:rPr>
        <w:t xml:space="preserve">Liczba obiektów zabytkowych ujętych w Gminnej ewidencji zabytków na 100 osób </w:t>
      </w:r>
      <w:r>
        <w:rPr>
          <w:bCs/>
          <w:sz w:val="24"/>
          <w:szCs w:val="24"/>
        </w:rPr>
        <w:t xml:space="preserve">– destymulanta </w:t>
      </w:r>
    </w:p>
    <w:p w14:paraId="32E6C4D2" w14:textId="6779FCF5" w:rsidR="00D50A98" w:rsidRDefault="00D50A98" w:rsidP="00D50A98">
      <w:pPr>
        <w:pStyle w:val="Akapitzlist"/>
        <w:numPr>
          <w:ilvl w:val="0"/>
          <w:numId w:val="22"/>
        </w:numPr>
        <w:shd w:val="clear" w:color="auto" w:fill="F2F2F2"/>
        <w:spacing w:before="120" w:after="0" w:line="264" w:lineRule="auto"/>
        <w:rPr>
          <w:bCs/>
          <w:sz w:val="24"/>
          <w:szCs w:val="24"/>
        </w:rPr>
      </w:pPr>
      <w:r w:rsidRPr="00D50A98">
        <w:rPr>
          <w:bCs/>
          <w:sz w:val="24"/>
          <w:szCs w:val="24"/>
        </w:rPr>
        <w:t>Wskaźnik stanu infrastruktury drogowej</w:t>
      </w:r>
      <w:r>
        <w:rPr>
          <w:bCs/>
          <w:sz w:val="24"/>
          <w:szCs w:val="24"/>
        </w:rPr>
        <w:t xml:space="preserve"> - </w:t>
      </w:r>
      <w:r w:rsidRPr="00D50A98">
        <w:rPr>
          <w:bCs/>
          <w:sz w:val="24"/>
          <w:szCs w:val="24"/>
        </w:rPr>
        <w:t>destymulanta</w:t>
      </w:r>
    </w:p>
    <w:p w14:paraId="2B9D1913" w14:textId="3F4CB358" w:rsidR="00D50A98" w:rsidRDefault="00D50A98" w:rsidP="00D50A98">
      <w:pPr>
        <w:pStyle w:val="Akapitzlist"/>
        <w:numPr>
          <w:ilvl w:val="0"/>
          <w:numId w:val="22"/>
        </w:numPr>
        <w:shd w:val="clear" w:color="auto" w:fill="F2F2F2"/>
        <w:spacing w:before="120" w:after="0" w:line="264" w:lineRule="auto"/>
        <w:rPr>
          <w:bCs/>
          <w:sz w:val="24"/>
          <w:szCs w:val="24"/>
        </w:rPr>
      </w:pPr>
      <w:r w:rsidRPr="00D50A98">
        <w:rPr>
          <w:bCs/>
          <w:sz w:val="24"/>
          <w:szCs w:val="24"/>
        </w:rPr>
        <w:t>Wskaźnik poziomu zdegradowania terenów zieleni publicznej</w:t>
      </w:r>
      <w:r>
        <w:rPr>
          <w:bCs/>
          <w:sz w:val="24"/>
          <w:szCs w:val="24"/>
        </w:rPr>
        <w:t xml:space="preserve"> - </w:t>
      </w:r>
      <w:r w:rsidR="00895A36">
        <w:rPr>
          <w:bCs/>
          <w:sz w:val="24"/>
          <w:szCs w:val="24"/>
        </w:rPr>
        <w:t>destymulanta</w:t>
      </w:r>
    </w:p>
    <w:p w14:paraId="2A767506" w14:textId="7B9B3495" w:rsidR="00D50A98" w:rsidRDefault="00D50A98" w:rsidP="00D50A98">
      <w:pPr>
        <w:pStyle w:val="Akapitzlist"/>
        <w:numPr>
          <w:ilvl w:val="0"/>
          <w:numId w:val="22"/>
        </w:numPr>
        <w:shd w:val="clear" w:color="auto" w:fill="F2F2F2"/>
        <w:spacing w:before="120" w:after="0" w:line="264" w:lineRule="auto"/>
        <w:rPr>
          <w:bCs/>
          <w:sz w:val="24"/>
          <w:szCs w:val="24"/>
        </w:rPr>
      </w:pPr>
      <w:r w:rsidRPr="00D50A98">
        <w:rPr>
          <w:bCs/>
          <w:sz w:val="24"/>
          <w:szCs w:val="24"/>
        </w:rPr>
        <w:t>Liczba zdarzeń drogowych na 100 osób</w:t>
      </w:r>
      <w:r>
        <w:rPr>
          <w:bCs/>
          <w:sz w:val="24"/>
          <w:szCs w:val="24"/>
        </w:rPr>
        <w:t xml:space="preserve"> - </w:t>
      </w:r>
      <w:r w:rsidRPr="00D50A98">
        <w:rPr>
          <w:bCs/>
          <w:sz w:val="24"/>
          <w:szCs w:val="24"/>
        </w:rPr>
        <w:t>destymulanta</w:t>
      </w:r>
    </w:p>
    <w:p w14:paraId="120980FF" w14:textId="13D32900" w:rsidR="00D50A98" w:rsidRDefault="00D50A98" w:rsidP="00D50A98">
      <w:pPr>
        <w:pStyle w:val="Akapitzlist"/>
        <w:numPr>
          <w:ilvl w:val="0"/>
          <w:numId w:val="22"/>
        </w:numPr>
        <w:shd w:val="clear" w:color="auto" w:fill="F2F2F2"/>
        <w:spacing w:before="120" w:after="0" w:line="264" w:lineRule="auto"/>
        <w:rPr>
          <w:bCs/>
          <w:sz w:val="24"/>
          <w:szCs w:val="24"/>
        </w:rPr>
      </w:pPr>
      <w:r w:rsidRPr="00D50A98">
        <w:rPr>
          <w:bCs/>
          <w:sz w:val="24"/>
          <w:szCs w:val="24"/>
        </w:rPr>
        <w:t>Wskaźnik degradacji stanu obiektów budowlanych o przeznaczeniu mieszkalnym</w:t>
      </w:r>
      <w:r>
        <w:rPr>
          <w:bCs/>
          <w:sz w:val="24"/>
          <w:szCs w:val="24"/>
        </w:rPr>
        <w:t xml:space="preserve"> - </w:t>
      </w:r>
      <w:r w:rsidRPr="00D50A98">
        <w:rPr>
          <w:bCs/>
          <w:sz w:val="24"/>
          <w:szCs w:val="24"/>
        </w:rPr>
        <w:t>destymulanta</w:t>
      </w:r>
    </w:p>
    <w:p w14:paraId="3A1CD93D" w14:textId="11795C5B" w:rsidR="00D50A98" w:rsidRPr="00D50A98" w:rsidRDefault="00D50A98" w:rsidP="00D50A98">
      <w:pPr>
        <w:pStyle w:val="Akapitzlist"/>
        <w:numPr>
          <w:ilvl w:val="0"/>
          <w:numId w:val="22"/>
        </w:numPr>
        <w:shd w:val="clear" w:color="auto" w:fill="F2F2F2"/>
        <w:spacing w:before="120" w:after="0" w:line="264" w:lineRule="auto"/>
        <w:rPr>
          <w:bCs/>
          <w:sz w:val="24"/>
          <w:szCs w:val="24"/>
        </w:rPr>
      </w:pPr>
      <w:r w:rsidRPr="00D50A98">
        <w:rPr>
          <w:bCs/>
          <w:sz w:val="24"/>
          <w:szCs w:val="24"/>
        </w:rPr>
        <w:t>Wskaźnik niewystarczającego wyposażenia w infrastrukturę techniczną i społeczną</w:t>
      </w:r>
      <w:r>
        <w:rPr>
          <w:bCs/>
          <w:sz w:val="24"/>
          <w:szCs w:val="24"/>
        </w:rPr>
        <w:t xml:space="preserve"> </w:t>
      </w:r>
      <w:r w:rsidRPr="00D50A98">
        <w:rPr>
          <w:bCs/>
          <w:sz w:val="24"/>
          <w:szCs w:val="24"/>
        </w:rPr>
        <w:t>destymulanta</w:t>
      </w:r>
    </w:p>
    <w:p w14:paraId="3960B9CE" w14:textId="2CD036D5" w:rsidR="00982F17" w:rsidRPr="00982F17" w:rsidRDefault="00982F17" w:rsidP="00982F17">
      <w:pPr>
        <w:suppressAutoHyphens w:val="0"/>
        <w:spacing w:before="120" w:after="0" w:line="264" w:lineRule="auto"/>
        <w:rPr>
          <w:rStyle w:val="Tytuksiki"/>
          <w:rFonts w:cs="Calibri"/>
          <w:sz w:val="24"/>
          <w:szCs w:val="24"/>
          <w:lang w:eastAsia="pl-PL"/>
        </w:rPr>
      </w:pPr>
      <w:bookmarkStart w:id="163" w:name="_Toc67141044"/>
      <w:bookmarkStart w:id="164" w:name="_Toc67307026"/>
      <w:bookmarkStart w:id="165" w:name="_Toc97300848"/>
      <w:bookmarkStart w:id="166" w:name="_Toc108590694"/>
      <w:bookmarkStart w:id="167" w:name="_Toc108591345"/>
      <w:r w:rsidRPr="00982F17">
        <w:rPr>
          <w:rStyle w:val="Tytuksiki"/>
          <w:sz w:val="24"/>
          <w:szCs w:val="24"/>
        </w:rPr>
        <w:t xml:space="preserve">Poniżej zaprezentowano wyniki </w:t>
      </w:r>
      <w:r>
        <w:rPr>
          <w:rStyle w:val="Tytuksiki"/>
          <w:sz w:val="24"/>
          <w:szCs w:val="24"/>
        </w:rPr>
        <w:t xml:space="preserve">oceny </w:t>
      </w:r>
      <w:r w:rsidRPr="00982F17">
        <w:rPr>
          <w:rStyle w:val="Tytuksiki"/>
          <w:sz w:val="24"/>
          <w:szCs w:val="24"/>
        </w:rPr>
        <w:t>uwarunkowań przestrzenno-funkcjonalno-technicznych w Gminie na podstawie wskaźników specyficznych dla sfery przestrzenno-funkcjonalno-technicznej</w:t>
      </w:r>
      <w:r>
        <w:rPr>
          <w:rStyle w:val="Tytuksiki"/>
          <w:sz w:val="24"/>
          <w:szCs w:val="24"/>
        </w:rPr>
        <w:t xml:space="preserve">. </w:t>
      </w:r>
    </w:p>
    <w:p w14:paraId="468CFEFD" w14:textId="4EC4E56F" w:rsidR="00D50A98" w:rsidRDefault="00D50A98" w:rsidP="00982F17">
      <w:pPr>
        <w:suppressAutoHyphens w:val="0"/>
        <w:spacing w:before="120" w:after="0" w:line="264" w:lineRule="auto"/>
        <w:rPr>
          <w:rStyle w:val="Tytuksiki"/>
          <w:sz w:val="24"/>
          <w:szCs w:val="24"/>
        </w:rPr>
      </w:pPr>
    </w:p>
    <w:p w14:paraId="4AD099A0" w14:textId="77777777" w:rsidR="00982F17" w:rsidRDefault="00982F17" w:rsidP="002D6249">
      <w:pPr>
        <w:pStyle w:val="Legenda"/>
        <w:rPr>
          <w:rStyle w:val="Tytuksiki"/>
        </w:rPr>
        <w:sectPr w:rsidR="00982F17" w:rsidSect="002E2124">
          <w:footerReference w:type="default" r:id="rId13"/>
          <w:pgSz w:w="11906" w:h="16838"/>
          <w:pgMar w:top="1134" w:right="1021" w:bottom="1134" w:left="1021" w:header="709" w:footer="709" w:gutter="0"/>
          <w:cols w:space="708"/>
        </w:sectPr>
      </w:pPr>
    </w:p>
    <w:p w14:paraId="1BBBDB24" w14:textId="394140C4" w:rsidR="002E2124" w:rsidRDefault="009F0A7D" w:rsidP="00895A36">
      <w:pPr>
        <w:pStyle w:val="Legenda"/>
        <w:rPr>
          <w:rStyle w:val="Tytuksiki"/>
        </w:rPr>
      </w:pPr>
      <w:bookmarkStart w:id="168" w:name="_Toc219274343"/>
      <w:r w:rsidRPr="009F0A7D">
        <w:rPr>
          <w:rStyle w:val="Tytuksiki"/>
        </w:rPr>
        <w:lastRenderedPageBreak/>
        <w:t xml:space="preserve">Tabela </w:t>
      </w:r>
      <w:r w:rsidRPr="009F0A7D">
        <w:rPr>
          <w:rStyle w:val="Tytuksiki"/>
        </w:rPr>
        <w:fldChar w:fldCharType="begin"/>
      </w:r>
      <w:r w:rsidRPr="009F0A7D">
        <w:rPr>
          <w:rStyle w:val="Tytuksiki"/>
        </w:rPr>
        <w:instrText xml:space="preserve"> SEQ Tabela \* ARABIC </w:instrText>
      </w:r>
      <w:r w:rsidRPr="009F0A7D">
        <w:rPr>
          <w:rStyle w:val="Tytuksiki"/>
        </w:rPr>
        <w:fldChar w:fldCharType="separate"/>
      </w:r>
      <w:r w:rsidR="007A030F">
        <w:rPr>
          <w:rStyle w:val="Tytuksiki"/>
          <w:noProof/>
        </w:rPr>
        <w:t>7</w:t>
      </w:r>
      <w:r w:rsidRPr="009F0A7D">
        <w:rPr>
          <w:rStyle w:val="Tytuksiki"/>
        </w:rPr>
        <w:fldChar w:fldCharType="end"/>
      </w:r>
      <w:r w:rsidRPr="009F0A7D">
        <w:rPr>
          <w:rStyle w:val="Tytuksiki"/>
        </w:rPr>
        <w:t xml:space="preserve">. </w:t>
      </w:r>
      <w:r w:rsidR="009871AE" w:rsidRPr="009F0A7D">
        <w:rPr>
          <w:rStyle w:val="Tytuksiki"/>
        </w:rPr>
        <w:t xml:space="preserve">Analiza uwarunkowań </w:t>
      </w:r>
      <w:bookmarkStart w:id="169" w:name="_Hlk209077258"/>
      <w:r w:rsidR="009871AE" w:rsidRPr="009F0A7D">
        <w:rPr>
          <w:rStyle w:val="Tytuksiki"/>
        </w:rPr>
        <w:t xml:space="preserve">przestrzenno-funkcjonalno-technicznych </w:t>
      </w:r>
      <w:bookmarkEnd w:id="169"/>
      <w:r w:rsidR="009871AE" w:rsidRPr="009F0A7D">
        <w:rPr>
          <w:rStyle w:val="Tytuksiki"/>
        </w:rPr>
        <w:t xml:space="preserve">w </w:t>
      </w:r>
      <w:bookmarkEnd w:id="163"/>
      <w:bookmarkEnd w:id="164"/>
      <w:r w:rsidR="009871AE" w:rsidRPr="009F0A7D">
        <w:rPr>
          <w:rStyle w:val="Tytuksiki"/>
        </w:rPr>
        <w:t xml:space="preserve">Gminie </w:t>
      </w:r>
      <w:r w:rsidR="007A030F">
        <w:rPr>
          <w:rStyle w:val="Tytuksiki"/>
        </w:rPr>
        <w:t>Krośniewice</w:t>
      </w:r>
      <w:r w:rsidR="009871AE" w:rsidRPr="009F0A7D">
        <w:rPr>
          <w:rStyle w:val="Tytuksiki"/>
        </w:rPr>
        <w:t xml:space="preserve"> </w:t>
      </w:r>
      <w:bookmarkStart w:id="170" w:name="_Toc67141053"/>
      <w:r w:rsidR="009871AE" w:rsidRPr="009F0A7D">
        <w:rPr>
          <w:rStyle w:val="Tytuksiki"/>
        </w:rPr>
        <w:t>na podstawie wskaźników specyficznych dla sfery przestrzenno-funkcjonalno-technicznej</w:t>
      </w:r>
      <w:bookmarkEnd w:id="165"/>
      <w:bookmarkEnd w:id="166"/>
      <w:bookmarkEnd w:id="167"/>
      <w:bookmarkEnd w:id="168"/>
    </w:p>
    <w:tbl>
      <w:tblPr>
        <w:tblW w:w="15281" w:type="dxa"/>
        <w:tblCellMar>
          <w:left w:w="70" w:type="dxa"/>
          <w:right w:w="70" w:type="dxa"/>
        </w:tblCellMar>
        <w:tblLook w:val="04A0" w:firstRow="1" w:lastRow="0" w:firstColumn="1" w:lastColumn="0" w:noHBand="0" w:noVBand="1"/>
      </w:tblPr>
      <w:tblGrid>
        <w:gridCol w:w="3964"/>
        <w:gridCol w:w="1951"/>
        <w:gridCol w:w="1675"/>
        <w:gridCol w:w="1696"/>
        <w:gridCol w:w="1534"/>
        <w:gridCol w:w="1537"/>
        <w:gridCol w:w="1387"/>
        <w:gridCol w:w="1537"/>
      </w:tblGrid>
      <w:tr w:rsidR="000F2D6B" w:rsidRPr="000F2D6B" w14:paraId="45AD2994" w14:textId="77777777" w:rsidTr="00E20BBA">
        <w:trPr>
          <w:trHeight w:val="2316"/>
        </w:trPr>
        <w:tc>
          <w:tcPr>
            <w:tcW w:w="3964" w:type="dxa"/>
            <w:tcBorders>
              <w:top w:val="single" w:sz="4" w:space="0" w:color="auto"/>
              <w:left w:val="single" w:sz="4" w:space="0" w:color="auto"/>
              <w:bottom w:val="single" w:sz="4" w:space="0" w:color="auto"/>
              <w:right w:val="single" w:sz="4" w:space="0" w:color="auto"/>
            </w:tcBorders>
            <w:shd w:val="clear" w:color="000080" w:fill="4472C4"/>
            <w:noWrap/>
            <w:vAlign w:val="center"/>
            <w:hideMark/>
          </w:tcPr>
          <w:p w14:paraId="5505086C" w14:textId="79146C9D" w:rsidR="000F2D6B" w:rsidRPr="000F2D6B" w:rsidRDefault="00E20BBA" w:rsidP="000F2D6B">
            <w:pPr>
              <w:suppressAutoHyphens w:val="0"/>
              <w:autoSpaceDN/>
              <w:spacing w:after="0"/>
              <w:jc w:val="center"/>
              <w:textAlignment w:val="auto"/>
              <w:rPr>
                <w:rFonts w:eastAsia="Times New Roman" w:cs="Calibri"/>
                <w:color w:val="FFFFFF"/>
                <w:lang w:eastAsia="pl-PL"/>
              </w:rPr>
            </w:pPr>
            <w:r w:rsidRPr="00E20BBA">
              <w:rPr>
                <w:rFonts w:eastAsia="Times New Roman" w:cs="Calibri"/>
                <w:color w:val="FFFFFF"/>
                <w:lang w:eastAsia="pl-PL"/>
              </w:rPr>
              <w:t>Jednostka urbanistyczna</w:t>
            </w:r>
          </w:p>
        </w:tc>
        <w:tc>
          <w:tcPr>
            <w:tcW w:w="1951" w:type="dxa"/>
            <w:tcBorders>
              <w:top w:val="single" w:sz="4" w:space="0" w:color="auto"/>
              <w:left w:val="nil"/>
              <w:bottom w:val="single" w:sz="4" w:space="0" w:color="auto"/>
              <w:right w:val="single" w:sz="4" w:space="0" w:color="auto"/>
            </w:tcBorders>
            <w:shd w:val="clear" w:color="000080" w:fill="4472C4"/>
            <w:vAlign w:val="center"/>
            <w:hideMark/>
          </w:tcPr>
          <w:p w14:paraId="3D20E8AF" w14:textId="1F5BB908" w:rsidR="000F2D6B" w:rsidRPr="000F2D6B" w:rsidRDefault="000F2D6B" w:rsidP="000F2D6B">
            <w:pPr>
              <w:suppressAutoHyphens w:val="0"/>
              <w:autoSpaceDN/>
              <w:spacing w:after="0"/>
              <w:jc w:val="center"/>
              <w:textAlignment w:val="auto"/>
              <w:rPr>
                <w:rFonts w:eastAsia="Times New Roman" w:cs="Calibri"/>
                <w:color w:val="FFFFFF"/>
                <w:lang w:eastAsia="pl-PL"/>
              </w:rPr>
            </w:pPr>
            <w:r w:rsidRPr="000F2D6B">
              <w:rPr>
                <w:rFonts w:eastAsia="Times New Roman" w:cs="Calibri"/>
                <w:color w:val="FFFFFF"/>
                <w:lang w:eastAsia="pl-PL"/>
              </w:rPr>
              <w:t>1</w:t>
            </w:r>
            <w:r w:rsidR="00AD2D77">
              <w:rPr>
                <w:rFonts w:eastAsia="Times New Roman" w:cs="Calibri"/>
                <w:color w:val="FFFFFF"/>
                <w:lang w:eastAsia="pl-PL"/>
              </w:rPr>
              <w:t>3</w:t>
            </w:r>
            <w:r w:rsidRPr="000F2D6B">
              <w:rPr>
                <w:rFonts w:eastAsia="Times New Roman" w:cs="Calibri"/>
                <w:color w:val="FFFFFF"/>
                <w:lang w:eastAsia="pl-PL"/>
              </w:rPr>
              <w:t xml:space="preserve">. Liczba obiektów zabytkowych ujętych w Gminnej ewidencji zabytków na 100 osób </w:t>
            </w:r>
          </w:p>
        </w:tc>
        <w:tc>
          <w:tcPr>
            <w:tcW w:w="1675" w:type="dxa"/>
            <w:tcBorders>
              <w:top w:val="single" w:sz="4" w:space="0" w:color="auto"/>
              <w:left w:val="nil"/>
              <w:bottom w:val="single" w:sz="4" w:space="0" w:color="auto"/>
              <w:right w:val="single" w:sz="4" w:space="0" w:color="auto"/>
            </w:tcBorders>
            <w:shd w:val="clear" w:color="000080" w:fill="4472C4"/>
            <w:vAlign w:val="center"/>
            <w:hideMark/>
          </w:tcPr>
          <w:p w14:paraId="328B460F" w14:textId="61F2D613" w:rsidR="000F2D6B" w:rsidRPr="000F2D6B" w:rsidRDefault="000F2D6B" w:rsidP="000F2D6B">
            <w:pPr>
              <w:suppressAutoHyphens w:val="0"/>
              <w:autoSpaceDN/>
              <w:spacing w:after="0"/>
              <w:jc w:val="center"/>
              <w:textAlignment w:val="auto"/>
              <w:rPr>
                <w:rFonts w:eastAsia="Times New Roman" w:cs="Calibri"/>
                <w:color w:val="FFFFFF"/>
                <w:lang w:eastAsia="pl-PL"/>
              </w:rPr>
            </w:pPr>
            <w:r w:rsidRPr="000F2D6B">
              <w:rPr>
                <w:rFonts w:eastAsia="Times New Roman" w:cs="Calibri"/>
                <w:color w:val="FFFFFF"/>
                <w:lang w:eastAsia="pl-PL"/>
              </w:rPr>
              <w:t>1</w:t>
            </w:r>
            <w:r w:rsidR="00AD2D77">
              <w:rPr>
                <w:rFonts w:eastAsia="Times New Roman" w:cs="Calibri"/>
                <w:color w:val="FFFFFF"/>
                <w:lang w:eastAsia="pl-PL"/>
              </w:rPr>
              <w:t>4</w:t>
            </w:r>
            <w:r w:rsidRPr="000F2D6B">
              <w:rPr>
                <w:rFonts w:eastAsia="Times New Roman" w:cs="Calibri"/>
                <w:color w:val="FFFFFF"/>
                <w:lang w:eastAsia="pl-PL"/>
              </w:rPr>
              <w:t>. Wskaźnik stanu infrastruktury drogowej</w:t>
            </w:r>
          </w:p>
        </w:tc>
        <w:tc>
          <w:tcPr>
            <w:tcW w:w="1696" w:type="dxa"/>
            <w:tcBorders>
              <w:top w:val="single" w:sz="4" w:space="0" w:color="auto"/>
              <w:left w:val="nil"/>
              <w:bottom w:val="single" w:sz="4" w:space="0" w:color="auto"/>
              <w:right w:val="single" w:sz="4" w:space="0" w:color="auto"/>
            </w:tcBorders>
            <w:shd w:val="clear" w:color="000080" w:fill="4472C4"/>
            <w:vAlign w:val="center"/>
            <w:hideMark/>
          </w:tcPr>
          <w:p w14:paraId="240B880A" w14:textId="21AB4FC3" w:rsidR="000F2D6B" w:rsidRPr="000F2D6B" w:rsidRDefault="000F2D6B" w:rsidP="000F2D6B">
            <w:pPr>
              <w:suppressAutoHyphens w:val="0"/>
              <w:autoSpaceDN/>
              <w:spacing w:after="0"/>
              <w:jc w:val="center"/>
              <w:textAlignment w:val="auto"/>
              <w:rPr>
                <w:rFonts w:eastAsia="Times New Roman" w:cs="Calibri"/>
                <w:color w:val="FFFFFF"/>
                <w:lang w:eastAsia="pl-PL"/>
              </w:rPr>
            </w:pPr>
            <w:r w:rsidRPr="000F2D6B">
              <w:rPr>
                <w:rFonts w:eastAsia="Times New Roman" w:cs="Calibri"/>
                <w:color w:val="FFFFFF"/>
                <w:lang w:eastAsia="pl-PL"/>
              </w:rPr>
              <w:t>1</w:t>
            </w:r>
            <w:r w:rsidR="00AD2D77">
              <w:rPr>
                <w:rFonts w:eastAsia="Times New Roman" w:cs="Calibri"/>
                <w:color w:val="FFFFFF"/>
                <w:lang w:eastAsia="pl-PL"/>
              </w:rPr>
              <w:t>5</w:t>
            </w:r>
            <w:r w:rsidRPr="000F2D6B">
              <w:rPr>
                <w:rFonts w:eastAsia="Times New Roman" w:cs="Calibri"/>
                <w:color w:val="FFFFFF"/>
                <w:lang w:eastAsia="pl-PL"/>
              </w:rPr>
              <w:t>. Wskaźnik poziomu zdegradowania terenów zieleni publicznej</w:t>
            </w:r>
          </w:p>
        </w:tc>
        <w:tc>
          <w:tcPr>
            <w:tcW w:w="1534" w:type="dxa"/>
            <w:tcBorders>
              <w:top w:val="single" w:sz="4" w:space="0" w:color="auto"/>
              <w:left w:val="nil"/>
              <w:bottom w:val="single" w:sz="4" w:space="0" w:color="auto"/>
              <w:right w:val="single" w:sz="4" w:space="0" w:color="auto"/>
            </w:tcBorders>
            <w:shd w:val="clear" w:color="000000" w:fill="4472C4"/>
            <w:vAlign w:val="center"/>
            <w:hideMark/>
          </w:tcPr>
          <w:p w14:paraId="696EB242" w14:textId="0E0CE2A2" w:rsidR="000F2D6B" w:rsidRPr="000F2D6B" w:rsidRDefault="000F2D6B" w:rsidP="000F2D6B">
            <w:pPr>
              <w:suppressAutoHyphens w:val="0"/>
              <w:autoSpaceDN/>
              <w:spacing w:after="0"/>
              <w:jc w:val="center"/>
              <w:textAlignment w:val="auto"/>
              <w:rPr>
                <w:rFonts w:eastAsia="Times New Roman" w:cs="Calibri"/>
                <w:color w:val="FFFFFF"/>
                <w:lang w:eastAsia="pl-PL"/>
              </w:rPr>
            </w:pPr>
            <w:r w:rsidRPr="000F2D6B">
              <w:rPr>
                <w:rFonts w:eastAsia="Times New Roman" w:cs="Calibri"/>
                <w:color w:val="FFFFFF"/>
                <w:lang w:eastAsia="pl-PL"/>
              </w:rPr>
              <w:t>1</w:t>
            </w:r>
            <w:r w:rsidR="00AD2D77">
              <w:rPr>
                <w:rFonts w:eastAsia="Times New Roman" w:cs="Calibri"/>
                <w:color w:val="FFFFFF"/>
                <w:lang w:eastAsia="pl-PL"/>
              </w:rPr>
              <w:t>6</w:t>
            </w:r>
            <w:r w:rsidRPr="000F2D6B">
              <w:rPr>
                <w:rFonts w:eastAsia="Times New Roman" w:cs="Calibri"/>
                <w:color w:val="FFFFFF"/>
                <w:lang w:eastAsia="pl-PL"/>
              </w:rPr>
              <w:t xml:space="preserve">. Liczba zdarzeń drogowych na 100 osób </w:t>
            </w:r>
          </w:p>
        </w:tc>
        <w:tc>
          <w:tcPr>
            <w:tcW w:w="1537" w:type="dxa"/>
            <w:tcBorders>
              <w:top w:val="single" w:sz="4" w:space="0" w:color="auto"/>
              <w:left w:val="nil"/>
              <w:bottom w:val="single" w:sz="4" w:space="0" w:color="auto"/>
              <w:right w:val="single" w:sz="4" w:space="0" w:color="auto"/>
            </w:tcBorders>
            <w:shd w:val="clear" w:color="000000" w:fill="4472C4"/>
            <w:vAlign w:val="center"/>
            <w:hideMark/>
          </w:tcPr>
          <w:p w14:paraId="56B98AE2" w14:textId="3CB86029" w:rsidR="000F2D6B" w:rsidRPr="000F2D6B" w:rsidRDefault="000F2D6B" w:rsidP="000F2D6B">
            <w:pPr>
              <w:suppressAutoHyphens w:val="0"/>
              <w:autoSpaceDN/>
              <w:spacing w:after="0"/>
              <w:jc w:val="center"/>
              <w:textAlignment w:val="auto"/>
              <w:rPr>
                <w:rFonts w:eastAsia="Times New Roman" w:cs="Calibri"/>
                <w:color w:val="FFFFFF"/>
                <w:lang w:eastAsia="pl-PL"/>
              </w:rPr>
            </w:pPr>
            <w:r w:rsidRPr="000F2D6B">
              <w:rPr>
                <w:rFonts w:eastAsia="Times New Roman" w:cs="Calibri"/>
                <w:color w:val="FFFFFF"/>
                <w:lang w:eastAsia="pl-PL"/>
              </w:rPr>
              <w:t>1</w:t>
            </w:r>
            <w:r w:rsidR="008503B4">
              <w:rPr>
                <w:rFonts w:eastAsia="Times New Roman" w:cs="Calibri"/>
                <w:color w:val="FFFFFF"/>
                <w:lang w:eastAsia="pl-PL"/>
              </w:rPr>
              <w:t>7</w:t>
            </w:r>
            <w:r w:rsidRPr="000F2D6B">
              <w:rPr>
                <w:rFonts w:eastAsia="Times New Roman" w:cs="Calibri"/>
                <w:color w:val="FFFFFF"/>
                <w:lang w:eastAsia="pl-PL"/>
              </w:rPr>
              <w:t>. Wskaźnik degradacji stanu obiektów budowlanych o przeznaczeniu mieszkalnym</w:t>
            </w:r>
          </w:p>
        </w:tc>
        <w:tc>
          <w:tcPr>
            <w:tcW w:w="1387" w:type="dxa"/>
            <w:tcBorders>
              <w:top w:val="single" w:sz="4" w:space="0" w:color="auto"/>
              <w:left w:val="nil"/>
              <w:bottom w:val="single" w:sz="4" w:space="0" w:color="auto"/>
              <w:right w:val="single" w:sz="4" w:space="0" w:color="auto"/>
            </w:tcBorders>
            <w:shd w:val="clear" w:color="000000" w:fill="4472C4"/>
            <w:vAlign w:val="center"/>
            <w:hideMark/>
          </w:tcPr>
          <w:p w14:paraId="2711D213" w14:textId="2FDC5328" w:rsidR="000F2D6B" w:rsidRPr="000F2D6B" w:rsidRDefault="000F2D6B" w:rsidP="000F2D6B">
            <w:pPr>
              <w:suppressAutoHyphens w:val="0"/>
              <w:autoSpaceDN/>
              <w:spacing w:after="0"/>
              <w:jc w:val="center"/>
              <w:textAlignment w:val="auto"/>
              <w:rPr>
                <w:rFonts w:eastAsia="Times New Roman" w:cs="Calibri"/>
                <w:color w:val="FFFFFF"/>
                <w:lang w:eastAsia="pl-PL"/>
              </w:rPr>
            </w:pPr>
            <w:r w:rsidRPr="000F2D6B">
              <w:rPr>
                <w:rFonts w:eastAsia="Times New Roman" w:cs="Calibri"/>
                <w:color w:val="FFFFFF"/>
                <w:lang w:eastAsia="pl-PL"/>
              </w:rPr>
              <w:t>1</w:t>
            </w:r>
            <w:r w:rsidR="008503B4">
              <w:rPr>
                <w:rFonts w:eastAsia="Times New Roman" w:cs="Calibri"/>
                <w:color w:val="FFFFFF"/>
                <w:lang w:eastAsia="pl-PL"/>
              </w:rPr>
              <w:t>8</w:t>
            </w:r>
            <w:r w:rsidRPr="000F2D6B">
              <w:rPr>
                <w:rFonts w:eastAsia="Times New Roman" w:cs="Calibri"/>
                <w:color w:val="FFFFFF"/>
                <w:lang w:eastAsia="pl-PL"/>
              </w:rPr>
              <w:t>. Wskaźnik niewystarczającego wyposażenia w infrastrukturę techniczną i społeczną</w:t>
            </w:r>
          </w:p>
        </w:tc>
        <w:tc>
          <w:tcPr>
            <w:tcW w:w="1537" w:type="dxa"/>
            <w:tcBorders>
              <w:top w:val="single" w:sz="4" w:space="0" w:color="auto"/>
              <w:left w:val="nil"/>
              <w:bottom w:val="single" w:sz="4" w:space="0" w:color="auto"/>
              <w:right w:val="single" w:sz="4" w:space="0" w:color="auto"/>
            </w:tcBorders>
            <w:shd w:val="clear" w:color="000000" w:fill="4472C4"/>
            <w:vAlign w:val="center"/>
            <w:hideMark/>
          </w:tcPr>
          <w:p w14:paraId="71B4F1CD" w14:textId="77777777" w:rsidR="000F2D6B" w:rsidRPr="000F2D6B" w:rsidRDefault="000F2D6B" w:rsidP="000F2D6B">
            <w:pPr>
              <w:suppressAutoHyphens w:val="0"/>
              <w:autoSpaceDN/>
              <w:spacing w:after="0"/>
              <w:jc w:val="center"/>
              <w:textAlignment w:val="auto"/>
              <w:rPr>
                <w:rFonts w:eastAsia="Times New Roman" w:cs="Calibri"/>
                <w:color w:val="FFFFFF"/>
                <w:lang w:eastAsia="pl-PL"/>
              </w:rPr>
            </w:pPr>
            <w:r w:rsidRPr="000F2D6B">
              <w:rPr>
                <w:rFonts w:eastAsia="Times New Roman" w:cs="Calibri"/>
                <w:color w:val="FFFFFF"/>
                <w:lang w:eastAsia="pl-PL"/>
              </w:rPr>
              <w:t>IMD przestrzenno-funkcjonalno-techniczne</w:t>
            </w:r>
          </w:p>
        </w:tc>
      </w:tr>
      <w:tr w:rsidR="000F2D6B" w:rsidRPr="000F2D6B" w14:paraId="534E8BDE"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1F20E005"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Osiedle nr 1</w:t>
            </w:r>
          </w:p>
        </w:tc>
        <w:tc>
          <w:tcPr>
            <w:tcW w:w="1951" w:type="dxa"/>
            <w:tcBorders>
              <w:top w:val="nil"/>
              <w:left w:val="nil"/>
              <w:bottom w:val="single" w:sz="4" w:space="0" w:color="auto"/>
              <w:right w:val="single" w:sz="4" w:space="0" w:color="auto"/>
            </w:tcBorders>
            <w:shd w:val="clear" w:color="F2F2F2" w:fill="F8CBAD"/>
            <w:noWrap/>
            <w:vAlign w:val="bottom"/>
            <w:hideMark/>
          </w:tcPr>
          <w:p w14:paraId="4B3EDDB5"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2,46</w:t>
            </w:r>
          </w:p>
        </w:tc>
        <w:tc>
          <w:tcPr>
            <w:tcW w:w="1675" w:type="dxa"/>
            <w:tcBorders>
              <w:top w:val="nil"/>
              <w:left w:val="nil"/>
              <w:bottom w:val="single" w:sz="4" w:space="0" w:color="auto"/>
              <w:right w:val="single" w:sz="4" w:space="0" w:color="auto"/>
            </w:tcBorders>
            <w:shd w:val="clear" w:color="F2F2F2" w:fill="FFE699"/>
            <w:noWrap/>
            <w:vAlign w:val="bottom"/>
            <w:hideMark/>
          </w:tcPr>
          <w:p w14:paraId="45CC43F1"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8CBAD"/>
            <w:noWrap/>
            <w:vAlign w:val="bottom"/>
            <w:hideMark/>
          </w:tcPr>
          <w:p w14:paraId="4857509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534" w:type="dxa"/>
            <w:tcBorders>
              <w:top w:val="nil"/>
              <w:left w:val="nil"/>
              <w:bottom w:val="single" w:sz="4" w:space="0" w:color="auto"/>
              <w:right w:val="single" w:sz="4" w:space="0" w:color="auto"/>
            </w:tcBorders>
            <w:shd w:val="clear" w:color="000000" w:fill="F8CBAD"/>
            <w:noWrap/>
            <w:vAlign w:val="bottom"/>
            <w:hideMark/>
          </w:tcPr>
          <w:p w14:paraId="58BA804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0,53</w:t>
            </w:r>
          </w:p>
        </w:tc>
        <w:tc>
          <w:tcPr>
            <w:tcW w:w="1537" w:type="dxa"/>
            <w:tcBorders>
              <w:top w:val="nil"/>
              <w:left w:val="nil"/>
              <w:bottom w:val="single" w:sz="4" w:space="0" w:color="auto"/>
              <w:right w:val="single" w:sz="4" w:space="0" w:color="auto"/>
            </w:tcBorders>
            <w:shd w:val="clear" w:color="000000" w:fill="F8CBAD"/>
            <w:noWrap/>
            <w:vAlign w:val="bottom"/>
            <w:hideMark/>
          </w:tcPr>
          <w:p w14:paraId="05D6EC39"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387" w:type="dxa"/>
            <w:tcBorders>
              <w:top w:val="nil"/>
              <w:left w:val="nil"/>
              <w:bottom w:val="single" w:sz="4" w:space="0" w:color="auto"/>
              <w:right w:val="single" w:sz="4" w:space="0" w:color="auto"/>
            </w:tcBorders>
            <w:shd w:val="clear" w:color="000000" w:fill="F8CBAD"/>
            <w:noWrap/>
            <w:vAlign w:val="bottom"/>
            <w:hideMark/>
          </w:tcPr>
          <w:p w14:paraId="2130F97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537" w:type="dxa"/>
            <w:tcBorders>
              <w:top w:val="nil"/>
              <w:left w:val="nil"/>
              <w:bottom w:val="single" w:sz="4" w:space="0" w:color="auto"/>
              <w:right w:val="single" w:sz="4" w:space="0" w:color="auto"/>
            </w:tcBorders>
            <w:shd w:val="clear" w:color="000000" w:fill="F8CBAD"/>
            <w:noWrap/>
            <w:vAlign w:val="bottom"/>
            <w:hideMark/>
          </w:tcPr>
          <w:p w14:paraId="6EDDF009"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21</w:t>
            </w:r>
          </w:p>
        </w:tc>
      </w:tr>
      <w:tr w:rsidR="000F2D6B" w:rsidRPr="000F2D6B" w14:paraId="4D4704AD"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0758B492"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Osiedle nr 2</w:t>
            </w:r>
          </w:p>
        </w:tc>
        <w:tc>
          <w:tcPr>
            <w:tcW w:w="1951" w:type="dxa"/>
            <w:tcBorders>
              <w:top w:val="nil"/>
              <w:left w:val="nil"/>
              <w:bottom w:val="single" w:sz="4" w:space="0" w:color="auto"/>
              <w:right w:val="single" w:sz="4" w:space="0" w:color="auto"/>
            </w:tcBorders>
            <w:shd w:val="clear" w:color="F2F2F2" w:fill="C6E0B4"/>
            <w:noWrap/>
            <w:vAlign w:val="bottom"/>
            <w:hideMark/>
          </w:tcPr>
          <w:p w14:paraId="7113EE3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1,19</w:t>
            </w:r>
          </w:p>
        </w:tc>
        <w:tc>
          <w:tcPr>
            <w:tcW w:w="1675" w:type="dxa"/>
            <w:tcBorders>
              <w:top w:val="nil"/>
              <w:left w:val="nil"/>
              <w:bottom w:val="single" w:sz="4" w:space="0" w:color="auto"/>
              <w:right w:val="single" w:sz="4" w:space="0" w:color="auto"/>
            </w:tcBorders>
            <w:shd w:val="clear" w:color="F2F2F2" w:fill="FFE699"/>
            <w:noWrap/>
            <w:vAlign w:val="bottom"/>
            <w:hideMark/>
          </w:tcPr>
          <w:p w14:paraId="24A7E35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8CBAD"/>
            <w:noWrap/>
            <w:vAlign w:val="bottom"/>
            <w:hideMark/>
          </w:tcPr>
          <w:p w14:paraId="57C97591"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534" w:type="dxa"/>
            <w:tcBorders>
              <w:top w:val="nil"/>
              <w:left w:val="nil"/>
              <w:bottom w:val="single" w:sz="4" w:space="0" w:color="auto"/>
              <w:right w:val="single" w:sz="4" w:space="0" w:color="auto"/>
            </w:tcBorders>
            <w:shd w:val="clear" w:color="000000" w:fill="FFE699"/>
            <w:noWrap/>
            <w:vAlign w:val="bottom"/>
            <w:hideMark/>
          </w:tcPr>
          <w:p w14:paraId="66B02A45"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0,40</w:t>
            </w:r>
          </w:p>
        </w:tc>
        <w:tc>
          <w:tcPr>
            <w:tcW w:w="1537" w:type="dxa"/>
            <w:tcBorders>
              <w:top w:val="nil"/>
              <w:left w:val="nil"/>
              <w:bottom w:val="single" w:sz="4" w:space="0" w:color="auto"/>
              <w:right w:val="single" w:sz="4" w:space="0" w:color="auto"/>
            </w:tcBorders>
            <w:shd w:val="clear" w:color="000000" w:fill="F8CBAD"/>
            <w:noWrap/>
            <w:vAlign w:val="bottom"/>
            <w:hideMark/>
          </w:tcPr>
          <w:p w14:paraId="0F5276C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387" w:type="dxa"/>
            <w:tcBorders>
              <w:top w:val="nil"/>
              <w:left w:val="nil"/>
              <w:bottom w:val="single" w:sz="4" w:space="0" w:color="auto"/>
              <w:right w:val="single" w:sz="4" w:space="0" w:color="auto"/>
            </w:tcBorders>
            <w:shd w:val="clear" w:color="000000" w:fill="F8CBAD"/>
            <w:noWrap/>
            <w:vAlign w:val="bottom"/>
            <w:hideMark/>
          </w:tcPr>
          <w:p w14:paraId="69A4793A"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537" w:type="dxa"/>
            <w:tcBorders>
              <w:top w:val="nil"/>
              <w:left w:val="nil"/>
              <w:bottom w:val="single" w:sz="4" w:space="0" w:color="auto"/>
              <w:right w:val="single" w:sz="4" w:space="0" w:color="auto"/>
            </w:tcBorders>
            <w:shd w:val="clear" w:color="000000" w:fill="FFE699"/>
            <w:noWrap/>
            <w:vAlign w:val="bottom"/>
            <w:hideMark/>
          </w:tcPr>
          <w:p w14:paraId="65CB8F5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14</w:t>
            </w:r>
          </w:p>
        </w:tc>
      </w:tr>
      <w:tr w:rsidR="000F2D6B" w:rsidRPr="000F2D6B" w14:paraId="542E8BAB"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388B354B"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Osiedle nr 3 im. Gen. W. Andersa</w:t>
            </w:r>
          </w:p>
        </w:tc>
        <w:tc>
          <w:tcPr>
            <w:tcW w:w="1951" w:type="dxa"/>
            <w:tcBorders>
              <w:top w:val="nil"/>
              <w:left w:val="nil"/>
              <w:bottom w:val="single" w:sz="4" w:space="0" w:color="auto"/>
              <w:right w:val="single" w:sz="4" w:space="0" w:color="auto"/>
            </w:tcBorders>
            <w:shd w:val="clear" w:color="F2F2F2" w:fill="FFE699"/>
            <w:noWrap/>
            <w:vAlign w:val="bottom"/>
            <w:hideMark/>
          </w:tcPr>
          <w:p w14:paraId="4F884CE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1,94</w:t>
            </w:r>
          </w:p>
        </w:tc>
        <w:tc>
          <w:tcPr>
            <w:tcW w:w="1675" w:type="dxa"/>
            <w:tcBorders>
              <w:top w:val="nil"/>
              <w:left w:val="nil"/>
              <w:bottom w:val="single" w:sz="4" w:space="0" w:color="auto"/>
              <w:right w:val="single" w:sz="4" w:space="0" w:color="auto"/>
            </w:tcBorders>
            <w:shd w:val="clear" w:color="F2F2F2" w:fill="FFE699"/>
            <w:noWrap/>
            <w:vAlign w:val="bottom"/>
            <w:hideMark/>
          </w:tcPr>
          <w:p w14:paraId="3AFBC8E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6858527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F8CBAD"/>
            <w:noWrap/>
            <w:vAlign w:val="bottom"/>
            <w:hideMark/>
          </w:tcPr>
          <w:p w14:paraId="1F5F75D2"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0,97</w:t>
            </w:r>
          </w:p>
        </w:tc>
        <w:tc>
          <w:tcPr>
            <w:tcW w:w="1537" w:type="dxa"/>
            <w:tcBorders>
              <w:top w:val="nil"/>
              <w:left w:val="nil"/>
              <w:bottom w:val="single" w:sz="4" w:space="0" w:color="auto"/>
              <w:right w:val="single" w:sz="4" w:space="0" w:color="auto"/>
            </w:tcBorders>
            <w:shd w:val="clear" w:color="000000" w:fill="FFE699"/>
            <w:noWrap/>
            <w:vAlign w:val="bottom"/>
            <w:hideMark/>
          </w:tcPr>
          <w:p w14:paraId="2C37B8A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70B4B84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FFE699"/>
            <w:noWrap/>
            <w:vAlign w:val="bottom"/>
            <w:hideMark/>
          </w:tcPr>
          <w:p w14:paraId="600FAB61"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13</w:t>
            </w:r>
          </w:p>
        </w:tc>
      </w:tr>
      <w:tr w:rsidR="000F2D6B" w:rsidRPr="000F2D6B" w14:paraId="6DD1F54B"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18B0FA63"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Osiedle nr 4</w:t>
            </w:r>
          </w:p>
        </w:tc>
        <w:tc>
          <w:tcPr>
            <w:tcW w:w="1951" w:type="dxa"/>
            <w:tcBorders>
              <w:top w:val="nil"/>
              <w:left w:val="nil"/>
              <w:bottom w:val="single" w:sz="4" w:space="0" w:color="auto"/>
              <w:right w:val="single" w:sz="4" w:space="0" w:color="auto"/>
            </w:tcBorders>
            <w:shd w:val="clear" w:color="F2F2F2" w:fill="F8CBAD"/>
            <w:noWrap/>
            <w:vAlign w:val="bottom"/>
            <w:hideMark/>
          </w:tcPr>
          <w:p w14:paraId="58826495"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4,04</w:t>
            </w:r>
          </w:p>
        </w:tc>
        <w:tc>
          <w:tcPr>
            <w:tcW w:w="1675" w:type="dxa"/>
            <w:tcBorders>
              <w:top w:val="nil"/>
              <w:left w:val="nil"/>
              <w:bottom w:val="single" w:sz="4" w:space="0" w:color="auto"/>
              <w:right w:val="single" w:sz="4" w:space="0" w:color="auto"/>
            </w:tcBorders>
            <w:shd w:val="clear" w:color="F2F2F2" w:fill="FFE699"/>
            <w:noWrap/>
            <w:vAlign w:val="bottom"/>
            <w:hideMark/>
          </w:tcPr>
          <w:p w14:paraId="1D597FF3"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0D8E3C43"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F8CBAD"/>
            <w:noWrap/>
            <w:vAlign w:val="bottom"/>
            <w:hideMark/>
          </w:tcPr>
          <w:p w14:paraId="24AA858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1,01</w:t>
            </w:r>
          </w:p>
        </w:tc>
        <w:tc>
          <w:tcPr>
            <w:tcW w:w="1537" w:type="dxa"/>
            <w:tcBorders>
              <w:top w:val="nil"/>
              <w:left w:val="nil"/>
              <w:bottom w:val="single" w:sz="4" w:space="0" w:color="auto"/>
              <w:right w:val="single" w:sz="4" w:space="0" w:color="auto"/>
            </w:tcBorders>
            <w:shd w:val="clear" w:color="000000" w:fill="FFE699"/>
            <w:noWrap/>
            <w:vAlign w:val="bottom"/>
            <w:hideMark/>
          </w:tcPr>
          <w:p w14:paraId="3CD20FF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61BB7B3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F8CBAD"/>
            <w:noWrap/>
            <w:vAlign w:val="bottom"/>
            <w:hideMark/>
          </w:tcPr>
          <w:p w14:paraId="7072591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15</w:t>
            </w:r>
          </w:p>
        </w:tc>
      </w:tr>
      <w:tr w:rsidR="000F2D6B" w:rsidRPr="000F2D6B" w14:paraId="6744A492"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2ABC21FA"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Osiedle nr 5</w:t>
            </w:r>
          </w:p>
        </w:tc>
        <w:tc>
          <w:tcPr>
            <w:tcW w:w="1951" w:type="dxa"/>
            <w:tcBorders>
              <w:top w:val="nil"/>
              <w:left w:val="nil"/>
              <w:bottom w:val="single" w:sz="4" w:space="0" w:color="auto"/>
              <w:right w:val="single" w:sz="4" w:space="0" w:color="auto"/>
            </w:tcBorders>
            <w:shd w:val="clear" w:color="F2F2F2" w:fill="C6E0B4"/>
            <w:noWrap/>
            <w:vAlign w:val="bottom"/>
            <w:hideMark/>
          </w:tcPr>
          <w:p w14:paraId="0E7044A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0,33</w:t>
            </w:r>
          </w:p>
        </w:tc>
        <w:tc>
          <w:tcPr>
            <w:tcW w:w="1675" w:type="dxa"/>
            <w:tcBorders>
              <w:top w:val="nil"/>
              <w:left w:val="nil"/>
              <w:bottom w:val="single" w:sz="4" w:space="0" w:color="auto"/>
              <w:right w:val="single" w:sz="4" w:space="0" w:color="auto"/>
            </w:tcBorders>
            <w:shd w:val="clear" w:color="F2F2F2" w:fill="F8CBAD"/>
            <w:noWrap/>
            <w:vAlign w:val="bottom"/>
            <w:hideMark/>
          </w:tcPr>
          <w:p w14:paraId="04072D97"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696" w:type="dxa"/>
            <w:tcBorders>
              <w:top w:val="nil"/>
              <w:left w:val="nil"/>
              <w:bottom w:val="single" w:sz="4" w:space="0" w:color="auto"/>
              <w:right w:val="single" w:sz="4" w:space="0" w:color="auto"/>
            </w:tcBorders>
            <w:shd w:val="clear" w:color="F2F2F2" w:fill="F8CBAD"/>
            <w:noWrap/>
            <w:vAlign w:val="bottom"/>
            <w:hideMark/>
          </w:tcPr>
          <w:p w14:paraId="226CA8B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C6E0B4"/>
            <w:noWrap/>
            <w:vAlign w:val="bottom"/>
            <w:hideMark/>
          </w:tcPr>
          <w:p w14:paraId="3D902F92"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0,11</w:t>
            </w:r>
          </w:p>
        </w:tc>
        <w:tc>
          <w:tcPr>
            <w:tcW w:w="1537" w:type="dxa"/>
            <w:tcBorders>
              <w:top w:val="nil"/>
              <w:left w:val="nil"/>
              <w:bottom w:val="single" w:sz="4" w:space="0" w:color="auto"/>
              <w:right w:val="single" w:sz="4" w:space="0" w:color="auto"/>
            </w:tcBorders>
            <w:shd w:val="clear" w:color="000000" w:fill="C6E0B4"/>
            <w:noWrap/>
            <w:vAlign w:val="bottom"/>
            <w:hideMark/>
          </w:tcPr>
          <w:p w14:paraId="5F7DC06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w:t>
            </w:r>
          </w:p>
        </w:tc>
        <w:tc>
          <w:tcPr>
            <w:tcW w:w="1387" w:type="dxa"/>
            <w:tcBorders>
              <w:top w:val="nil"/>
              <w:left w:val="nil"/>
              <w:bottom w:val="single" w:sz="4" w:space="0" w:color="auto"/>
              <w:right w:val="single" w:sz="4" w:space="0" w:color="auto"/>
            </w:tcBorders>
            <w:shd w:val="clear" w:color="000000" w:fill="F8CBAD"/>
            <w:noWrap/>
            <w:vAlign w:val="bottom"/>
            <w:hideMark/>
          </w:tcPr>
          <w:p w14:paraId="764A99B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537" w:type="dxa"/>
            <w:tcBorders>
              <w:top w:val="nil"/>
              <w:left w:val="nil"/>
              <w:bottom w:val="single" w:sz="4" w:space="0" w:color="auto"/>
              <w:right w:val="single" w:sz="4" w:space="0" w:color="auto"/>
            </w:tcBorders>
            <w:shd w:val="clear" w:color="000000" w:fill="FFE699"/>
            <w:noWrap/>
            <w:vAlign w:val="bottom"/>
            <w:hideMark/>
          </w:tcPr>
          <w:p w14:paraId="26F6DB37"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14</w:t>
            </w:r>
          </w:p>
        </w:tc>
      </w:tr>
      <w:tr w:rsidR="000F2D6B" w:rsidRPr="000F2D6B" w14:paraId="3B155A52"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4F6A5BD7"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Osiedle nr 6</w:t>
            </w:r>
          </w:p>
        </w:tc>
        <w:tc>
          <w:tcPr>
            <w:tcW w:w="1951" w:type="dxa"/>
            <w:tcBorders>
              <w:top w:val="nil"/>
              <w:left w:val="nil"/>
              <w:bottom w:val="single" w:sz="4" w:space="0" w:color="auto"/>
              <w:right w:val="single" w:sz="4" w:space="0" w:color="auto"/>
            </w:tcBorders>
            <w:shd w:val="clear" w:color="F2F2F2" w:fill="C6E0B4"/>
            <w:noWrap/>
            <w:vAlign w:val="bottom"/>
            <w:hideMark/>
          </w:tcPr>
          <w:p w14:paraId="3E52290A"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FE699"/>
            <w:noWrap/>
            <w:vAlign w:val="bottom"/>
            <w:hideMark/>
          </w:tcPr>
          <w:p w14:paraId="70FD279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3AE5C113"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C6E0B4"/>
            <w:noWrap/>
            <w:vAlign w:val="bottom"/>
            <w:hideMark/>
          </w:tcPr>
          <w:p w14:paraId="1B2CC64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nil"/>
              <w:left w:val="nil"/>
              <w:bottom w:val="single" w:sz="4" w:space="0" w:color="auto"/>
              <w:right w:val="single" w:sz="4" w:space="0" w:color="auto"/>
            </w:tcBorders>
            <w:shd w:val="clear" w:color="000000" w:fill="F8CBAD"/>
            <w:noWrap/>
            <w:vAlign w:val="bottom"/>
            <w:hideMark/>
          </w:tcPr>
          <w:p w14:paraId="1FC04DF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387" w:type="dxa"/>
            <w:tcBorders>
              <w:top w:val="nil"/>
              <w:left w:val="nil"/>
              <w:bottom w:val="single" w:sz="4" w:space="0" w:color="auto"/>
              <w:right w:val="single" w:sz="4" w:space="0" w:color="auto"/>
            </w:tcBorders>
            <w:shd w:val="clear" w:color="000000" w:fill="F8CBAD"/>
            <w:noWrap/>
            <w:vAlign w:val="bottom"/>
            <w:hideMark/>
          </w:tcPr>
          <w:p w14:paraId="2F7CD0D5"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537" w:type="dxa"/>
            <w:tcBorders>
              <w:top w:val="nil"/>
              <w:left w:val="nil"/>
              <w:bottom w:val="single" w:sz="4" w:space="0" w:color="auto"/>
              <w:right w:val="single" w:sz="4" w:space="0" w:color="auto"/>
            </w:tcBorders>
            <w:shd w:val="clear" w:color="000000" w:fill="FFE699"/>
            <w:noWrap/>
            <w:vAlign w:val="bottom"/>
            <w:hideMark/>
          </w:tcPr>
          <w:p w14:paraId="626440C3"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13</w:t>
            </w:r>
          </w:p>
        </w:tc>
      </w:tr>
      <w:tr w:rsidR="000F2D6B" w:rsidRPr="000F2D6B" w14:paraId="473F6BD5"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3D36E1B1"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Bielice</w:t>
            </w:r>
          </w:p>
        </w:tc>
        <w:tc>
          <w:tcPr>
            <w:tcW w:w="1951" w:type="dxa"/>
            <w:tcBorders>
              <w:top w:val="nil"/>
              <w:left w:val="nil"/>
              <w:bottom w:val="single" w:sz="4" w:space="0" w:color="auto"/>
              <w:right w:val="single" w:sz="4" w:space="0" w:color="auto"/>
            </w:tcBorders>
            <w:shd w:val="clear" w:color="F2F2F2" w:fill="C6E0B4"/>
            <w:noWrap/>
            <w:vAlign w:val="bottom"/>
            <w:hideMark/>
          </w:tcPr>
          <w:p w14:paraId="7D7D1E56"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1,18</w:t>
            </w:r>
          </w:p>
        </w:tc>
        <w:tc>
          <w:tcPr>
            <w:tcW w:w="1675" w:type="dxa"/>
            <w:tcBorders>
              <w:top w:val="nil"/>
              <w:left w:val="nil"/>
              <w:bottom w:val="single" w:sz="4" w:space="0" w:color="auto"/>
              <w:right w:val="single" w:sz="4" w:space="0" w:color="auto"/>
            </w:tcBorders>
            <w:shd w:val="clear" w:color="F2F2F2" w:fill="FFE699"/>
            <w:noWrap/>
            <w:vAlign w:val="bottom"/>
            <w:hideMark/>
          </w:tcPr>
          <w:p w14:paraId="4401BDA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11D6A08B"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C6E0B4"/>
            <w:noWrap/>
            <w:vAlign w:val="bottom"/>
            <w:hideMark/>
          </w:tcPr>
          <w:p w14:paraId="71D9B049"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nil"/>
              <w:left w:val="nil"/>
              <w:bottom w:val="single" w:sz="4" w:space="0" w:color="auto"/>
              <w:right w:val="single" w:sz="4" w:space="0" w:color="auto"/>
            </w:tcBorders>
            <w:shd w:val="clear" w:color="000000" w:fill="FFE699"/>
            <w:noWrap/>
            <w:vAlign w:val="bottom"/>
            <w:hideMark/>
          </w:tcPr>
          <w:p w14:paraId="474CDEC6"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6B0B2E5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C6E0B4"/>
            <w:noWrap/>
            <w:vAlign w:val="bottom"/>
            <w:hideMark/>
          </w:tcPr>
          <w:p w14:paraId="26FCB1D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10</w:t>
            </w:r>
          </w:p>
        </w:tc>
      </w:tr>
      <w:tr w:rsidR="000F2D6B" w:rsidRPr="000F2D6B" w14:paraId="4A4C0C5F"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6718A557"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Franki</w:t>
            </w:r>
          </w:p>
        </w:tc>
        <w:tc>
          <w:tcPr>
            <w:tcW w:w="1951" w:type="dxa"/>
            <w:tcBorders>
              <w:top w:val="nil"/>
              <w:left w:val="nil"/>
              <w:bottom w:val="single" w:sz="4" w:space="0" w:color="auto"/>
              <w:right w:val="single" w:sz="4" w:space="0" w:color="auto"/>
            </w:tcBorders>
            <w:shd w:val="clear" w:color="F2F2F2" w:fill="C6E0B4"/>
            <w:noWrap/>
            <w:vAlign w:val="bottom"/>
            <w:hideMark/>
          </w:tcPr>
          <w:p w14:paraId="378BE81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FE699"/>
            <w:noWrap/>
            <w:vAlign w:val="bottom"/>
            <w:hideMark/>
          </w:tcPr>
          <w:p w14:paraId="0D530935"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4594E3B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C6E0B4"/>
            <w:noWrap/>
            <w:vAlign w:val="bottom"/>
            <w:hideMark/>
          </w:tcPr>
          <w:p w14:paraId="7BF186F3"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nil"/>
              <w:left w:val="nil"/>
              <w:bottom w:val="single" w:sz="4" w:space="0" w:color="auto"/>
              <w:right w:val="single" w:sz="4" w:space="0" w:color="auto"/>
            </w:tcBorders>
            <w:shd w:val="clear" w:color="000000" w:fill="FFE699"/>
            <w:noWrap/>
            <w:vAlign w:val="bottom"/>
            <w:hideMark/>
          </w:tcPr>
          <w:p w14:paraId="7BD30871"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69F7D41B"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C6E0B4"/>
            <w:noWrap/>
            <w:vAlign w:val="bottom"/>
            <w:hideMark/>
          </w:tcPr>
          <w:p w14:paraId="6390EFCA"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10</w:t>
            </w:r>
          </w:p>
        </w:tc>
      </w:tr>
      <w:tr w:rsidR="000F2D6B" w:rsidRPr="000F2D6B" w14:paraId="33DE346D"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6283793E"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Jankowice</w:t>
            </w:r>
          </w:p>
        </w:tc>
        <w:tc>
          <w:tcPr>
            <w:tcW w:w="1951" w:type="dxa"/>
            <w:tcBorders>
              <w:top w:val="nil"/>
              <w:left w:val="nil"/>
              <w:bottom w:val="single" w:sz="4" w:space="0" w:color="auto"/>
              <w:right w:val="single" w:sz="4" w:space="0" w:color="auto"/>
            </w:tcBorders>
            <w:shd w:val="clear" w:color="F2F2F2" w:fill="F8CBAD"/>
            <w:noWrap/>
            <w:vAlign w:val="bottom"/>
            <w:hideMark/>
          </w:tcPr>
          <w:p w14:paraId="68CF2C7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5,80</w:t>
            </w:r>
          </w:p>
        </w:tc>
        <w:tc>
          <w:tcPr>
            <w:tcW w:w="1675" w:type="dxa"/>
            <w:tcBorders>
              <w:top w:val="nil"/>
              <w:left w:val="nil"/>
              <w:bottom w:val="single" w:sz="4" w:space="0" w:color="auto"/>
              <w:right w:val="single" w:sz="4" w:space="0" w:color="auto"/>
            </w:tcBorders>
            <w:shd w:val="clear" w:color="F2F2F2" w:fill="F8CBAD"/>
            <w:noWrap/>
            <w:vAlign w:val="bottom"/>
            <w:hideMark/>
          </w:tcPr>
          <w:p w14:paraId="6EE9D57A"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696" w:type="dxa"/>
            <w:tcBorders>
              <w:top w:val="nil"/>
              <w:left w:val="nil"/>
              <w:bottom w:val="single" w:sz="4" w:space="0" w:color="auto"/>
              <w:right w:val="single" w:sz="4" w:space="0" w:color="auto"/>
            </w:tcBorders>
            <w:shd w:val="clear" w:color="F2F2F2" w:fill="FFE699"/>
            <w:noWrap/>
            <w:vAlign w:val="bottom"/>
            <w:hideMark/>
          </w:tcPr>
          <w:p w14:paraId="1BAF9A0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F8CBAD"/>
            <w:noWrap/>
            <w:vAlign w:val="bottom"/>
            <w:hideMark/>
          </w:tcPr>
          <w:p w14:paraId="3AB4461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0,58</w:t>
            </w:r>
          </w:p>
        </w:tc>
        <w:tc>
          <w:tcPr>
            <w:tcW w:w="1537" w:type="dxa"/>
            <w:tcBorders>
              <w:top w:val="nil"/>
              <w:left w:val="nil"/>
              <w:bottom w:val="single" w:sz="4" w:space="0" w:color="auto"/>
              <w:right w:val="single" w:sz="4" w:space="0" w:color="auto"/>
            </w:tcBorders>
            <w:shd w:val="clear" w:color="000000" w:fill="FFE699"/>
            <w:noWrap/>
            <w:vAlign w:val="bottom"/>
            <w:hideMark/>
          </w:tcPr>
          <w:p w14:paraId="30F2F5B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73C9613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F8CBAD"/>
            <w:noWrap/>
            <w:vAlign w:val="bottom"/>
            <w:hideMark/>
          </w:tcPr>
          <w:p w14:paraId="0FA479B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17</w:t>
            </w:r>
          </w:p>
        </w:tc>
      </w:tr>
      <w:tr w:rsidR="000F2D6B" w:rsidRPr="000F2D6B" w14:paraId="58F74021"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6E8E165B"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Kajew</w:t>
            </w:r>
          </w:p>
        </w:tc>
        <w:tc>
          <w:tcPr>
            <w:tcW w:w="1951" w:type="dxa"/>
            <w:tcBorders>
              <w:top w:val="nil"/>
              <w:left w:val="nil"/>
              <w:bottom w:val="single" w:sz="4" w:space="0" w:color="auto"/>
              <w:right w:val="single" w:sz="4" w:space="0" w:color="auto"/>
            </w:tcBorders>
            <w:shd w:val="clear" w:color="F2F2F2" w:fill="C6E0B4"/>
            <w:noWrap/>
            <w:vAlign w:val="bottom"/>
            <w:hideMark/>
          </w:tcPr>
          <w:p w14:paraId="5BFC9C5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FE699"/>
            <w:noWrap/>
            <w:vAlign w:val="bottom"/>
            <w:hideMark/>
          </w:tcPr>
          <w:p w14:paraId="0505A1A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44163491"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C6E0B4"/>
            <w:noWrap/>
            <w:vAlign w:val="bottom"/>
            <w:hideMark/>
          </w:tcPr>
          <w:p w14:paraId="22EB766B"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nil"/>
              <w:left w:val="nil"/>
              <w:bottom w:val="single" w:sz="4" w:space="0" w:color="auto"/>
              <w:right w:val="single" w:sz="4" w:space="0" w:color="auto"/>
            </w:tcBorders>
            <w:shd w:val="clear" w:color="000000" w:fill="FFE699"/>
            <w:noWrap/>
            <w:vAlign w:val="bottom"/>
            <w:hideMark/>
          </w:tcPr>
          <w:p w14:paraId="3E2AB53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07780B9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C6E0B4"/>
            <w:noWrap/>
            <w:vAlign w:val="bottom"/>
            <w:hideMark/>
          </w:tcPr>
          <w:p w14:paraId="2360F081"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10</w:t>
            </w:r>
          </w:p>
        </w:tc>
      </w:tr>
      <w:tr w:rsidR="000F2D6B" w:rsidRPr="000F2D6B" w14:paraId="0590909A"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206425D4"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Kopy</w:t>
            </w:r>
          </w:p>
        </w:tc>
        <w:tc>
          <w:tcPr>
            <w:tcW w:w="1951" w:type="dxa"/>
            <w:tcBorders>
              <w:top w:val="nil"/>
              <w:left w:val="nil"/>
              <w:bottom w:val="single" w:sz="4" w:space="0" w:color="auto"/>
              <w:right w:val="single" w:sz="4" w:space="0" w:color="auto"/>
            </w:tcBorders>
            <w:shd w:val="clear" w:color="F2F2F2" w:fill="C6E0B4"/>
            <w:noWrap/>
            <w:vAlign w:val="bottom"/>
            <w:hideMark/>
          </w:tcPr>
          <w:p w14:paraId="3D0C08D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FE699"/>
            <w:noWrap/>
            <w:vAlign w:val="bottom"/>
            <w:hideMark/>
          </w:tcPr>
          <w:p w14:paraId="11BAE26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498BCD1A"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C6E0B4"/>
            <w:noWrap/>
            <w:vAlign w:val="bottom"/>
            <w:hideMark/>
          </w:tcPr>
          <w:p w14:paraId="13482FD2"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nil"/>
              <w:left w:val="nil"/>
              <w:bottom w:val="single" w:sz="4" w:space="0" w:color="auto"/>
              <w:right w:val="single" w:sz="4" w:space="0" w:color="auto"/>
            </w:tcBorders>
            <w:shd w:val="clear" w:color="000000" w:fill="FFE699"/>
            <w:noWrap/>
            <w:vAlign w:val="bottom"/>
            <w:hideMark/>
          </w:tcPr>
          <w:p w14:paraId="535F48C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0978E58D"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C6E0B4"/>
            <w:noWrap/>
            <w:vAlign w:val="bottom"/>
            <w:hideMark/>
          </w:tcPr>
          <w:p w14:paraId="7E0AF61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10</w:t>
            </w:r>
          </w:p>
        </w:tc>
      </w:tr>
      <w:tr w:rsidR="000F2D6B" w:rsidRPr="000F2D6B" w14:paraId="33DB0493"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16082450"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Luboradz</w:t>
            </w:r>
          </w:p>
        </w:tc>
        <w:tc>
          <w:tcPr>
            <w:tcW w:w="1951" w:type="dxa"/>
            <w:tcBorders>
              <w:top w:val="nil"/>
              <w:left w:val="nil"/>
              <w:bottom w:val="single" w:sz="4" w:space="0" w:color="auto"/>
              <w:right w:val="single" w:sz="4" w:space="0" w:color="auto"/>
            </w:tcBorders>
            <w:shd w:val="clear" w:color="F2F2F2" w:fill="C6E0B4"/>
            <w:noWrap/>
            <w:vAlign w:val="bottom"/>
            <w:hideMark/>
          </w:tcPr>
          <w:p w14:paraId="5165C5A9"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FE699"/>
            <w:noWrap/>
            <w:vAlign w:val="bottom"/>
            <w:hideMark/>
          </w:tcPr>
          <w:p w14:paraId="485CD1DD"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2BEBF396"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F8CBAD"/>
            <w:noWrap/>
            <w:vAlign w:val="bottom"/>
            <w:hideMark/>
          </w:tcPr>
          <w:p w14:paraId="15EC9557"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1,64</w:t>
            </w:r>
          </w:p>
        </w:tc>
        <w:tc>
          <w:tcPr>
            <w:tcW w:w="1537" w:type="dxa"/>
            <w:tcBorders>
              <w:top w:val="nil"/>
              <w:left w:val="nil"/>
              <w:bottom w:val="single" w:sz="4" w:space="0" w:color="auto"/>
              <w:right w:val="single" w:sz="4" w:space="0" w:color="auto"/>
            </w:tcBorders>
            <w:shd w:val="clear" w:color="000000" w:fill="FFE699"/>
            <w:noWrap/>
            <w:vAlign w:val="bottom"/>
            <w:hideMark/>
          </w:tcPr>
          <w:p w14:paraId="3029E7E6"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52B22C5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FFE699"/>
            <w:noWrap/>
            <w:vAlign w:val="bottom"/>
            <w:hideMark/>
          </w:tcPr>
          <w:p w14:paraId="185C9C0B"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12</w:t>
            </w:r>
          </w:p>
        </w:tc>
      </w:tr>
      <w:tr w:rsidR="000F2D6B" w:rsidRPr="000F2D6B" w14:paraId="200A0336"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744B462E"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Morawce</w:t>
            </w:r>
          </w:p>
        </w:tc>
        <w:tc>
          <w:tcPr>
            <w:tcW w:w="1951" w:type="dxa"/>
            <w:tcBorders>
              <w:top w:val="nil"/>
              <w:left w:val="nil"/>
              <w:bottom w:val="single" w:sz="4" w:space="0" w:color="auto"/>
              <w:right w:val="single" w:sz="4" w:space="0" w:color="auto"/>
            </w:tcBorders>
            <w:shd w:val="clear" w:color="F2F2F2" w:fill="C6E0B4"/>
            <w:noWrap/>
            <w:vAlign w:val="bottom"/>
            <w:hideMark/>
          </w:tcPr>
          <w:p w14:paraId="06D03732"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FE699"/>
            <w:noWrap/>
            <w:vAlign w:val="bottom"/>
            <w:hideMark/>
          </w:tcPr>
          <w:p w14:paraId="7CE21C9A"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09703CE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FFE699"/>
            <w:noWrap/>
            <w:vAlign w:val="bottom"/>
            <w:hideMark/>
          </w:tcPr>
          <w:p w14:paraId="31DE290A"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0,39</w:t>
            </w:r>
          </w:p>
        </w:tc>
        <w:tc>
          <w:tcPr>
            <w:tcW w:w="1537" w:type="dxa"/>
            <w:tcBorders>
              <w:top w:val="nil"/>
              <w:left w:val="nil"/>
              <w:bottom w:val="single" w:sz="4" w:space="0" w:color="auto"/>
              <w:right w:val="single" w:sz="4" w:space="0" w:color="auto"/>
            </w:tcBorders>
            <w:shd w:val="clear" w:color="000000" w:fill="FFE699"/>
            <w:noWrap/>
            <w:vAlign w:val="bottom"/>
            <w:hideMark/>
          </w:tcPr>
          <w:p w14:paraId="32D92F6A"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50FCB39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FFE699"/>
            <w:noWrap/>
            <w:vAlign w:val="bottom"/>
            <w:hideMark/>
          </w:tcPr>
          <w:p w14:paraId="0983CAD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11</w:t>
            </w:r>
          </w:p>
        </w:tc>
      </w:tr>
      <w:tr w:rsidR="000F2D6B" w:rsidRPr="000F2D6B" w14:paraId="025F38B8" w14:textId="77777777" w:rsidTr="00673E76">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3B29E551"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Nowe</w:t>
            </w:r>
          </w:p>
        </w:tc>
        <w:tc>
          <w:tcPr>
            <w:tcW w:w="1951" w:type="dxa"/>
            <w:tcBorders>
              <w:top w:val="nil"/>
              <w:left w:val="nil"/>
              <w:bottom w:val="single" w:sz="4" w:space="0" w:color="auto"/>
              <w:right w:val="single" w:sz="4" w:space="0" w:color="auto"/>
            </w:tcBorders>
            <w:shd w:val="clear" w:color="F2F2F2" w:fill="F8CBAD"/>
            <w:noWrap/>
            <w:vAlign w:val="bottom"/>
            <w:hideMark/>
          </w:tcPr>
          <w:p w14:paraId="514F1ED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6,92</w:t>
            </w:r>
          </w:p>
        </w:tc>
        <w:tc>
          <w:tcPr>
            <w:tcW w:w="1675" w:type="dxa"/>
            <w:tcBorders>
              <w:top w:val="nil"/>
              <w:left w:val="nil"/>
              <w:bottom w:val="single" w:sz="4" w:space="0" w:color="auto"/>
              <w:right w:val="single" w:sz="4" w:space="0" w:color="auto"/>
            </w:tcBorders>
            <w:shd w:val="clear" w:color="F2F2F2" w:fill="FFE699"/>
            <w:noWrap/>
            <w:vAlign w:val="bottom"/>
            <w:hideMark/>
          </w:tcPr>
          <w:p w14:paraId="635E930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696" w:type="dxa"/>
            <w:tcBorders>
              <w:top w:val="nil"/>
              <w:left w:val="nil"/>
              <w:bottom w:val="single" w:sz="4" w:space="0" w:color="auto"/>
              <w:right w:val="single" w:sz="4" w:space="0" w:color="auto"/>
            </w:tcBorders>
            <w:shd w:val="clear" w:color="F2F2F2" w:fill="F8CBAD"/>
            <w:noWrap/>
            <w:vAlign w:val="bottom"/>
            <w:hideMark/>
          </w:tcPr>
          <w:p w14:paraId="3E3ADECA"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534" w:type="dxa"/>
            <w:tcBorders>
              <w:top w:val="nil"/>
              <w:left w:val="nil"/>
              <w:bottom w:val="single" w:sz="4" w:space="0" w:color="auto"/>
              <w:right w:val="single" w:sz="4" w:space="0" w:color="auto"/>
            </w:tcBorders>
            <w:shd w:val="clear" w:color="000000" w:fill="C6E0B4"/>
            <w:noWrap/>
            <w:vAlign w:val="bottom"/>
            <w:hideMark/>
          </w:tcPr>
          <w:p w14:paraId="7381B92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nil"/>
              <w:left w:val="nil"/>
              <w:bottom w:val="single" w:sz="4" w:space="0" w:color="auto"/>
              <w:right w:val="single" w:sz="4" w:space="0" w:color="auto"/>
            </w:tcBorders>
            <w:shd w:val="clear" w:color="auto" w:fill="FFE599" w:themeFill="accent4" w:themeFillTint="66"/>
            <w:noWrap/>
            <w:vAlign w:val="bottom"/>
            <w:hideMark/>
          </w:tcPr>
          <w:p w14:paraId="52A92233" w14:textId="09F47A24" w:rsidR="000F2D6B" w:rsidRPr="000F2D6B" w:rsidRDefault="00673E76" w:rsidP="000F2D6B">
            <w:pPr>
              <w:suppressAutoHyphens w:val="0"/>
              <w:autoSpaceDN/>
              <w:spacing w:after="0"/>
              <w:jc w:val="right"/>
              <w:textAlignment w:val="auto"/>
              <w:rPr>
                <w:rFonts w:eastAsia="Times New Roman" w:cs="Calibri"/>
                <w:color w:val="000000"/>
                <w:lang w:eastAsia="pl-PL"/>
              </w:rPr>
            </w:pPr>
            <w:r>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auto" w:fill="FFE599" w:themeFill="accent4" w:themeFillTint="66"/>
            <w:noWrap/>
            <w:vAlign w:val="bottom"/>
            <w:hideMark/>
          </w:tcPr>
          <w:p w14:paraId="3D91E34E" w14:textId="753F1BC6" w:rsidR="000F2D6B" w:rsidRPr="000F2D6B" w:rsidRDefault="00673E76" w:rsidP="000F2D6B">
            <w:pPr>
              <w:suppressAutoHyphens w:val="0"/>
              <w:autoSpaceDN/>
              <w:spacing w:after="0"/>
              <w:jc w:val="right"/>
              <w:textAlignment w:val="auto"/>
              <w:rPr>
                <w:rFonts w:eastAsia="Times New Roman" w:cs="Calibri"/>
                <w:color w:val="000000"/>
                <w:lang w:eastAsia="pl-PL"/>
              </w:rPr>
            </w:pPr>
            <w:r>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auto" w:fill="FFE599" w:themeFill="accent4" w:themeFillTint="66"/>
            <w:noWrap/>
            <w:vAlign w:val="bottom"/>
            <w:hideMark/>
          </w:tcPr>
          <w:p w14:paraId="20CA0CF1" w14:textId="40978973" w:rsidR="000F2D6B" w:rsidRPr="000F2D6B" w:rsidRDefault="00673E76" w:rsidP="000F2D6B">
            <w:pPr>
              <w:suppressAutoHyphens w:val="0"/>
              <w:autoSpaceDN/>
              <w:spacing w:after="0"/>
              <w:jc w:val="right"/>
              <w:textAlignment w:val="auto"/>
              <w:rPr>
                <w:rFonts w:eastAsia="Times New Roman" w:cs="Calibri"/>
                <w:color w:val="000000"/>
                <w:lang w:eastAsia="pl-PL"/>
              </w:rPr>
            </w:pPr>
            <w:r>
              <w:rPr>
                <w:rFonts w:eastAsia="Times New Roman" w:cs="Calibri"/>
                <w:color w:val="000000"/>
                <w:lang w:eastAsia="pl-PL"/>
              </w:rPr>
              <w:t>14</w:t>
            </w:r>
          </w:p>
        </w:tc>
      </w:tr>
      <w:tr w:rsidR="000F2D6B" w:rsidRPr="000F2D6B" w14:paraId="10B382AE"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1A0FA30B"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Ostałów</w:t>
            </w:r>
          </w:p>
        </w:tc>
        <w:tc>
          <w:tcPr>
            <w:tcW w:w="1951" w:type="dxa"/>
            <w:tcBorders>
              <w:top w:val="nil"/>
              <w:left w:val="nil"/>
              <w:bottom w:val="single" w:sz="4" w:space="0" w:color="auto"/>
              <w:right w:val="single" w:sz="4" w:space="0" w:color="auto"/>
            </w:tcBorders>
            <w:shd w:val="clear" w:color="F2F2F2" w:fill="F8CBAD"/>
            <w:noWrap/>
            <w:vAlign w:val="bottom"/>
            <w:hideMark/>
          </w:tcPr>
          <w:p w14:paraId="64EE995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2,38</w:t>
            </w:r>
          </w:p>
        </w:tc>
        <w:tc>
          <w:tcPr>
            <w:tcW w:w="1675" w:type="dxa"/>
            <w:tcBorders>
              <w:top w:val="nil"/>
              <w:left w:val="nil"/>
              <w:bottom w:val="single" w:sz="4" w:space="0" w:color="auto"/>
              <w:right w:val="single" w:sz="4" w:space="0" w:color="auto"/>
            </w:tcBorders>
            <w:shd w:val="clear" w:color="F2F2F2" w:fill="FFE699"/>
            <w:noWrap/>
            <w:vAlign w:val="bottom"/>
            <w:hideMark/>
          </w:tcPr>
          <w:p w14:paraId="307C8B5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8CBAD"/>
            <w:noWrap/>
            <w:vAlign w:val="bottom"/>
            <w:hideMark/>
          </w:tcPr>
          <w:p w14:paraId="34FB9846"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534" w:type="dxa"/>
            <w:tcBorders>
              <w:top w:val="nil"/>
              <w:left w:val="nil"/>
              <w:bottom w:val="single" w:sz="4" w:space="0" w:color="auto"/>
              <w:right w:val="single" w:sz="4" w:space="0" w:color="auto"/>
            </w:tcBorders>
            <w:shd w:val="clear" w:color="000000" w:fill="C6E0B4"/>
            <w:noWrap/>
            <w:vAlign w:val="bottom"/>
            <w:hideMark/>
          </w:tcPr>
          <w:p w14:paraId="330D8A53"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nil"/>
              <w:left w:val="nil"/>
              <w:bottom w:val="single" w:sz="4" w:space="0" w:color="auto"/>
              <w:right w:val="single" w:sz="4" w:space="0" w:color="auto"/>
            </w:tcBorders>
            <w:shd w:val="clear" w:color="000000" w:fill="FFE699"/>
            <w:noWrap/>
            <w:vAlign w:val="bottom"/>
            <w:hideMark/>
          </w:tcPr>
          <w:p w14:paraId="29806447"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8CBAD"/>
            <w:noWrap/>
            <w:vAlign w:val="bottom"/>
            <w:hideMark/>
          </w:tcPr>
          <w:p w14:paraId="3D93AE4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537" w:type="dxa"/>
            <w:tcBorders>
              <w:top w:val="nil"/>
              <w:left w:val="nil"/>
              <w:bottom w:val="single" w:sz="4" w:space="0" w:color="auto"/>
              <w:right w:val="single" w:sz="4" w:space="0" w:color="auto"/>
            </w:tcBorders>
            <w:shd w:val="clear" w:color="000000" w:fill="F8CBAD"/>
            <w:noWrap/>
            <w:vAlign w:val="bottom"/>
            <w:hideMark/>
          </w:tcPr>
          <w:p w14:paraId="6591429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16</w:t>
            </w:r>
          </w:p>
        </w:tc>
      </w:tr>
      <w:tr w:rsidR="000F2D6B" w:rsidRPr="000F2D6B" w14:paraId="3772D7C2"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51A9040F"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Pawlikowice</w:t>
            </w:r>
          </w:p>
        </w:tc>
        <w:tc>
          <w:tcPr>
            <w:tcW w:w="1951" w:type="dxa"/>
            <w:tcBorders>
              <w:top w:val="nil"/>
              <w:left w:val="nil"/>
              <w:bottom w:val="single" w:sz="4" w:space="0" w:color="auto"/>
              <w:right w:val="single" w:sz="4" w:space="0" w:color="auto"/>
            </w:tcBorders>
            <w:shd w:val="clear" w:color="F2F2F2" w:fill="C6E0B4"/>
            <w:noWrap/>
            <w:vAlign w:val="bottom"/>
            <w:hideMark/>
          </w:tcPr>
          <w:p w14:paraId="5C0D8BCA"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FE699"/>
            <w:noWrap/>
            <w:vAlign w:val="bottom"/>
            <w:hideMark/>
          </w:tcPr>
          <w:p w14:paraId="0EB8A425"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5C7DD829"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C6E0B4"/>
            <w:noWrap/>
            <w:vAlign w:val="bottom"/>
            <w:hideMark/>
          </w:tcPr>
          <w:p w14:paraId="62DA89FD"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nil"/>
              <w:left w:val="nil"/>
              <w:bottom w:val="single" w:sz="4" w:space="0" w:color="auto"/>
              <w:right w:val="single" w:sz="4" w:space="0" w:color="auto"/>
            </w:tcBorders>
            <w:shd w:val="clear" w:color="000000" w:fill="FFE699"/>
            <w:noWrap/>
            <w:vAlign w:val="bottom"/>
            <w:hideMark/>
          </w:tcPr>
          <w:p w14:paraId="74EC9ABB"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33F8E062"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C6E0B4"/>
            <w:noWrap/>
            <w:vAlign w:val="bottom"/>
            <w:hideMark/>
          </w:tcPr>
          <w:p w14:paraId="6DC4F18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10</w:t>
            </w:r>
          </w:p>
        </w:tc>
      </w:tr>
      <w:tr w:rsidR="000F2D6B" w:rsidRPr="000F2D6B" w14:paraId="6878A571"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4BCBEFF0"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Pomarzany</w:t>
            </w:r>
          </w:p>
        </w:tc>
        <w:tc>
          <w:tcPr>
            <w:tcW w:w="1951" w:type="dxa"/>
            <w:tcBorders>
              <w:top w:val="nil"/>
              <w:left w:val="nil"/>
              <w:bottom w:val="single" w:sz="4" w:space="0" w:color="auto"/>
              <w:right w:val="single" w:sz="4" w:space="0" w:color="auto"/>
            </w:tcBorders>
            <w:shd w:val="clear" w:color="F2F2F2" w:fill="C6E0B4"/>
            <w:noWrap/>
            <w:vAlign w:val="bottom"/>
            <w:hideMark/>
          </w:tcPr>
          <w:p w14:paraId="69C0A872"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FE699"/>
            <w:noWrap/>
            <w:vAlign w:val="bottom"/>
            <w:hideMark/>
          </w:tcPr>
          <w:p w14:paraId="1F0B0A96"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05A1E8E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FFE699"/>
            <w:noWrap/>
            <w:vAlign w:val="bottom"/>
            <w:hideMark/>
          </w:tcPr>
          <w:p w14:paraId="2F7163B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0,37</w:t>
            </w:r>
          </w:p>
        </w:tc>
        <w:tc>
          <w:tcPr>
            <w:tcW w:w="1537" w:type="dxa"/>
            <w:tcBorders>
              <w:top w:val="nil"/>
              <w:left w:val="nil"/>
              <w:bottom w:val="single" w:sz="4" w:space="0" w:color="auto"/>
              <w:right w:val="single" w:sz="4" w:space="0" w:color="auto"/>
            </w:tcBorders>
            <w:shd w:val="clear" w:color="000000" w:fill="FFE699"/>
            <w:noWrap/>
            <w:vAlign w:val="bottom"/>
            <w:hideMark/>
          </w:tcPr>
          <w:p w14:paraId="2C0AAC2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307C5EF7"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C6E0B4"/>
            <w:noWrap/>
            <w:vAlign w:val="bottom"/>
            <w:hideMark/>
          </w:tcPr>
          <w:p w14:paraId="2E54060B"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11</w:t>
            </w:r>
          </w:p>
        </w:tc>
      </w:tr>
      <w:tr w:rsidR="000F2D6B" w:rsidRPr="000F2D6B" w14:paraId="7E6F44BA"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776FCAE5"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Suchodoły</w:t>
            </w:r>
          </w:p>
        </w:tc>
        <w:tc>
          <w:tcPr>
            <w:tcW w:w="1951" w:type="dxa"/>
            <w:tcBorders>
              <w:top w:val="nil"/>
              <w:left w:val="nil"/>
              <w:bottom w:val="single" w:sz="4" w:space="0" w:color="auto"/>
              <w:right w:val="single" w:sz="4" w:space="0" w:color="auto"/>
            </w:tcBorders>
            <w:shd w:val="clear" w:color="F2F2F2" w:fill="C6E0B4"/>
            <w:noWrap/>
            <w:vAlign w:val="bottom"/>
            <w:hideMark/>
          </w:tcPr>
          <w:p w14:paraId="16C7B425"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FE699"/>
            <w:noWrap/>
            <w:vAlign w:val="bottom"/>
            <w:hideMark/>
          </w:tcPr>
          <w:p w14:paraId="0656BA26"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482FFAF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C6E0B4"/>
            <w:noWrap/>
            <w:vAlign w:val="bottom"/>
            <w:hideMark/>
          </w:tcPr>
          <w:p w14:paraId="73BB307D"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nil"/>
              <w:left w:val="nil"/>
              <w:bottom w:val="single" w:sz="4" w:space="0" w:color="auto"/>
              <w:right w:val="single" w:sz="4" w:space="0" w:color="auto"/>
            </w:tcBorders>
            <w:shd w:val="clear" w:color="000000" w:fill="FFE699"/>
            <w:noWrap/>
            <w:vAlign w:val="bottom"/>
            <w:hideMark/>
          </w:tcPr>
          <w:p w14:paraId="6F40210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0A40AA1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C6E0B4"/>
            <w:noWrap/>
            <w:vAlign w:val="bottom"/>
            <w:hideMark/>
          </w:tcPr>
          <w:p w14:paraId="6DCA216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10</w:t>
            </w:r>
          </w:p>
        </w:tc>
      </w:tr>
      <w:tr w:rsidR="000F2D6B" w:rsidRPr="000F2D6B" w14:paraId="79185732"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0DAC804B"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Szubina</w:t>
            </w:r>
          </w:p>
        </w:tc>
        <w:tc>
          <w:tcPr>
            <w:tcW w:w="1951" w:type="dxa"/>
            <w:tcBorders>
              <w:top w:val="nil"/>
              <w:left w:val="nil"/>
              <w:bottom w:val="single" w:sz="4" w:space="0" w:color="auto"/>
              <w:right w:val="single" w:sz="4" w:space="0" w:color="auto"/>
            </w:tcBorders>
            <w:shd w:val="clear" w:color="F2F2F2" w:fill="C6E0B4"/>
            <w:noWrap/>
            <w:vAlign w:val="bottom"/>
            <w:hideMark/>
          </w:tcPr>
          <w:p w14:paraId="2DC2864D"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8CBAD"/>
            <w:noWrap/>
            <w:vAlign w:val="bottom"/>
            <w:hideMark/>
          </w:tcPr>
          <w:p w14:paraId="1AA715A3"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696" w:type="dxa"/>
            <w:tcBorders>
              <w:top w:val="nil"/>
              <w:left w:val="nil"/>
              <w:bottom w:val="single" w:sz="4" w:space="0" w:color="auto"/>
              <w:right w:val="single" w:sz="4" w:space="0" w:color="auto"/>
            </w:tcBorders>
            <w:shd w:val="clear" w:color="F2F2F2" w:fill="FFE699"/>
            <w:noWrap/>
            <w:vAlign w:val="bottom"/>
            <w:hideMark/>
          </w:tcPr>
          <w:p w14:paraId="16F5C3A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F8CBAD"/>
            <w:noWrap/>
            <w:vAlign w:val="bottom"/>
            <w:hideMark/>
          </w:tcPr>
          <w:p w14:paraId="6D5F319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0,66</w:t>
            </w:r>
          </w:p>
        </w:tc>
        <w:tc>
          <w:tcPr>
            <w:tcW w:w="1537" w:type="dxa"/>
            <w:tcBorders>
              <w:top w:val="nil"/>
              <w:left w:val="nil"/>
              <w:bottom w:val="single" w:sz="4" w:space="0" w:color="auto"/>
              <w:right w:val="single" w:sz="4" w:space="0" w:color="auto"/>
            </w:tcBorders>
            <w:shd w:val="clear" w:color="000000" w:fill="FFE699"/>
            <w:noWrap/>
            <w:vAlign w:val="bottom"/>
            <w:hideMark/>
          </w:tcPr>
          <w:p w14:paraId="77FF0F0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0EEF716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FFE699"/>
            <w:noWrap/>
            <w:vAlign w:val="bottom"/>
            <w:hideMark/>
          </w:tcPr>
          <w:p w14:paraId="12DE66B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14</w:t>
            </w:r>
          </w:p>
        </w:tc>
      </w:tr>
      <w:tr w:rsidR="000F2D6B" w:rsidRPr="000F2D6B" w14:paraId="06157C2F"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35D600A4"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Szubsk Duży</w:t>
            </w:r>
          </w:p>
        </w:tc>
        <w:tc>
          <w:tcPr>
            <w:tcW w:w="1951" w:type="dxa"/>
            <w:tcBorders>
              <w:top w:val="nil"/>
              <w:left w:val="nil"/>
              <w:bottom w:val="single" w:sz="4" w:space="0" w:color="auto"/>
              <w:right w:val="single" w:sz="4" w:space="0" w:color="auto"/>
            </w:tcBorders>
            <w:shd w:val="clear" w:color="F2F2F2" w:fill="FFE699"/>
            <w:noWrap/>
            <w:vAlign w:val="bottom"/>
            <w:hideMark/>
          </w:tcPr>
          <w:p w14:paraId="6DE36792"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1,59</w:t>
            </w:r>
          </w:p>
        </w:tc>
        <w:tc>
          <w:tcPr>
            <w:tcW w:w="1675" w:type="dxa"/>
            <w:tcBorders>
              <w:top w:val="nil"/>
              <w:left w:val="nil"/>
              <w:bottom w:val="single" w:sz="4" w:space="0" w:color="auto"/>
              <w:right w:val="single" w:sz="4" w:space="0" w:color="auto"/>
            </w:tcBorders>
            <w:shd w:val="clear" w:color="F2F2F2" w:fill="F8CBAD"/>
            <w:noWrap/>
            <w:vAlign w:val="bottom"/>
            <w:hideMark/>
          </w:tcPr>
          <w:p w14:paraId="48093DA1"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696" w:type="dxa"/>
            <w:tcBorders>
              <w:top w:val="nil"/>
              <w:left w:val="nil"/>
              <w:bottom w:val="single" w:sz="4" w:space="0" w:color="auto"/>
              <w:right w:val="single" w:sz="4" w:space="0" w:color="auto"/>
            </w:tcBorders>
            <w:shd w:val="clear" w:color="F2F2F2" w:fill="FFE699"/>
            <w:noWrap/>
            <w:vAlign w:val="bottom"/>
            <w:hideMark/>
          </w:tcPr>
          <w:p w14:paraId="258E316A"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C6E0B4"/>
            <w:noWrap/>
            <w:vAlign w:val="bottom"/>
            <w:hideMark/>
          </w:tcPr>
          <w:p w14:paraId="5B0A86D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nil"/>
              <w:left w:val="nil"/>
              <w:bottom w:val="single" w:sz="4" w:space="0" w:color="auto"/>
              <w:right w:val="single" w:sz="4" w:space="0" w:color="auto"/>
            </w:tcBorders>
            <w:shd w:val="clear" w:color="000000" w:fill="FFE699"/>
            <w:noWrap/>
            <w:vAlign w:val="bottom"/>
            <w:hideMark/>
          </w:tcPr>
          <w:p w14:paraId="3DE51146"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17D4725D"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FFE699"/>
            <w:noWrap/>
            <w:vAlign w:val="bottom"/>
            <w:hideMark/>
          </w:tcPr>
          <w:p w14:paraId="4C341BA6"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12</w:t>
            </w:r>
          </w:p>
        </w:tc>
      </w:tr>
      <w:tr w:rsidR="000F2D6B" w:rsidRPr="000F2D6B" w14:paraId="19997409" w14:textId="77777777" w:rsidTr="006F5A93">
        <w:trPr>
          <w:trHeight w:val="290"/>
        </w:trPr>
        <w:tc>
          <w:tcPr>
            <w:tcW w:w="3964" w:type="dxa"/>
            <w:tcBorders>
              <w:top w:val="single" w:sz="4" w:space="0" w:color="auto"/>
              <w:left w:val="single" w:sz="4" w:space="0" w:color="auto"/>
              <w:bottom w:val="single" w:sz="4" w:space="0" w:color="auto"/>
              <w:right w:val="single" w:sz="4" w:space="0" w:color="auto"/>
            </w:tcBorders>
            <w:shd w:val="clear" w:color="F2F2F2" w:fill="FFFFFF"/>
            <w:vAlign w:val="bottom"/>
            <w:hideMark/>
          </w:tcPr>
          <w:p w14:paraId="0149D87E"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Szubsk Towarzystwo</w:t>
            </w:r>
          </w:p>
        </w:tc>
        <w:tc>
          <w:tcPr>
            <w:tcW w:w="1951" w:type="dxa"/>
            <w:tcBorders>
              <w:top w:val="single" w:sz="4" w:space="0" w:color="auto"/>
              <w:left w:val="single" w:sz="4" w:space="0" w:color="auto"/>
              <w:bottom w:val="single" w:sz="4" w:space="0" w:color="auto"/>
              <w:right w:val="single" w:sz="4" w:space="0" w:color="auto"/>
            </w:tcBorders>
            <w:shd w:val="clear" w:color="F2F2F2" w:fill="F8CBAD"/>
            <w:noWrap/>
            <w:vAlign w:val="bottom"/>
            <w:hideMark/>
          </w:tcPr>
          <w:p w14:paraId="0902FCD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5,17</w:t>
            </w:r>
          </w:p>
        </w:tc>
        <w:tc>
          <w:tcPr>
            <w:tcW w:w="1675" w:type="dxa"/>
            <w:tcBorders>
              <w:top w:val="single" w:sz="4" w:space="0" w:color="auto"/>
              <w:left w:val="single" w:sz="4" w:space="0" w:color="auto"/>
              <w:bottom w:val="single" w:sz="4" w:space="0" w:color="auto"/>
              <w:right w:val="single" w:sz="4" w:space="0" w:color="auto"/>
            </w:tcBorders>
            <w:shd w:val="clear" w:color="F2F2F2" w:fill="F8CBAD"/>
            <w:noWrap/>
            <w:vAlign w:val="bottom"/>
            <w:hideMark/>
          </w:tcPr>
          <w:p w14:paraId="52AA9E3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696" w:type="dxa"/>
            <w:tcBorders>
              <w:top w:val="single" w:sz="4" w:space="0" w:color="auto"/>
              <w:left w:val="single" w:sz="4" w:space="0" w:color="auto"/>
              <w:bottom w:val="single" w:sz="4" w:space="0" w:color="auto"/>
              <w:right w:val="single" w:sz="4" w:space="0" w:color="auto"/>
            </w:tcBorders>
            <w:shd w:val="clear" w:color="F2F2F2" w:fill="FFE699"/>
            <w:noWrap/>
            <w:vAlign w:val="bottom"/>
            <w:hideMark/>
          </w:tcPr>
          <w:p w14:paraId="7685A991"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00C71D8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71C5B06B"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480DDEED"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572DF83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14</w:t>
            </w:r>
          </w:p>
        </w:tc>
      </w:tr>
      <w:tr w:rsidR="000F2D6B" w:rsidRPr="000F2D6B" w14:paraId="17DBBE3A" w14:textId="77777777" w:rsidTr="008503B4">
        <w:trPr>
          <w:trHeight w:val="290"/>
        </w:trPr>
        <w:tc>
          <w:tcPr>
            <w:tcW w:w="3964"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2F054D5F"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Teresin</w:t>
            </w:r>
          </w:p>
        </w:tc>
        <w:tc>
          <w:tcPr>
            <w:tcW w:w="1951" w:type="dxa"/>
            <w:tcBorders>
              <w:top w:val="single" w:sz="4" w:space="0" w:color="auto"/>
              <w:left w:val="nil"/>
              <w:bottom w:val="single" w:sz="4" w:space="0" w:color="auto"/>
              <w:right w:val="single" w:sz="4" w:space="0" w:color="auto"/>
            </w:tcBorders>
            <w:shd w:val="clear" w:color="F2F2F2" w:fill="F8CBAD"/>
            <w:noWrap/>
            <w:vAlign w:val="bottom"/>
            <w:hideMark/>
          </w:tcPr>
          <w:p w14:paraId="7975EFA7"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8,25</w:t>
            </w:r>
          </w:p>
        </w:tc>
        <w:tc>
          <w:tcPr>
            <w:tcW w:w="1675" w:type="dxa"/>
            <w:tcBorders>
              <w:top w:val="single" w:sz="4" w:space="0" w:color="auto"/>
              <w:left w:val="nil"/>
              <w:bottom w:val="single" w:sz="4" w:space="0" w:color="auto"/>
              <w:right w:val="single" w:sz="4" w:space="0" w:color="auto"/>
            </w:tcBorders>
            <w:shd w:val="clear" w:color="F2F2F2" w:fill="FFE699"/>
            <w:noWrap/>
            <w:vAlign w:val="bottom"/>
            <w:hideMark/>
          </w:tcPr>
          <w:p w14:paraId="3C77D813"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single" w:sz="4" w:space="0" w:color="auto"/>
              <w:left w:val="nil"/>
              <w:bottom w:val="single" w:sz="4" w:space="0" w:color="auto"/>
              <w:right w:val="single" w:sz="4" w:space="0" w:color="auto"/>
            </w:tcBorders>
            <w:shd w:val="clear" w:color="F2F2F2" w:fill="FFE699"/>
            <w:noWrap/>
            <w:vAlign w:val="bottom"/>
            <w:hideMark/>
          </w:tcPr>
          <w:p w14:paraId="5CA914D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single" w:sz="4" w:space="0" w:color="auto"/>
              <w:left w:val="nil"/>
              <w:bottom w:val="single" w:sz="4" w:space="0" w:color="auto"/>
              <w:right w:val="single" w:sz="4" w:space="0" w:color="auto"/>
            </w:tcBorders>
            <w:shd w:val="clear" w:color="000000" w:fill="F8CBAD"/>
            <w:noWrap/>
            <w:vAlign w:val="bottom"/>
            <w:hideMark/>
          </w:tcPr>
          <w:p w14:paraId="5D923275"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1,03</w:t>
            </w:r>
          </w:p>
        </w:tc>
        <w:tc>
          <w:tcPr>
            <w:tcW w:w="1537" w:type="dxa"/>
            <w:tcBorders>
              <w:top w:val="single" w:sz="4" w:space="0" w:color="auto"/>
              <w:left w:val="nil"/>
              <w:bottom w:val="single" w:sz="4" w:space="0" w:color="auto"/>
              <w:right w:val="single" w:sz="4" w:space="0" w:color="auto"/>
            </w:tcBorders>
            <w:shd w:val="clear" w:color="000000" w:fill="F8CBAD"/>
            <w:noWrap/>
            <w:vAlign w:val="bottom"/>
            <w:hideMark/>
          </w:tcPr>
          <w:p w14:paraId="4CA699FB"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387" w:type="dxa"/>
            <w:tcBorders>
              <w:top w:val="single" w:sz="4" w:space="0" w:color="auto"/>
              <w:left w:val="nil"/>
              <w:bottom w:val="single" w:sz="4" w:space="0" w:color="auto"/>
              <w:right w:val="single" w:sz="4" w:space="0" w:color="auto"/>
            </w:tcBorders>
            <w:shd w:val="clear" w:color="000000" w:fill="FFE699"/>
            <w:noWrap/>
            <w:vAlign w:val="bottom"/>
            <w:hideMark/>
          </w:tcPr>
          <w:p w14:paraId="2E6E061B"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single" w:sz="4" w:space="0" w:color="auto"/>
              <w:left w:val="nil"/>
              <w:bottom w:val="single" w:sz="4" w:space="0" w:color="auto"/>
              <w:right w:val="single" w:sz="4" w:space="0" w:color="auto"/>
            </w:tcBorders>
            <w:shd w:val="clear" w:color="000000" w:fill="F8CBAD"/>
            <w:noWrap/>
            <w:vAlign w:val="bottom"/>
            <w:hideMark/>
          </w:tcPr>
          <w:p w14:paraId="4DECFE11"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17</w:t>
            </w:r>
          </w:p>
        </w:tc>
      </w:tr>
      <w:tr w:rsidR="000F2D6B" w:rsidRPr="000F2D6B" w14:paraId="1752CA4E" w14:textId="77777777" w:rsidTr="008503B4">
        <w:trPr>
          <w:trHeight w:val="290"/>
        </w:trPr>
        <w:tc>
          <w:tcPr>
            <w:tcW w:w="3964"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641D67B2"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lastRenderedPageBreak/>
              <w:t>Sołectwo Witów</w:t>
            </w:r>
          </w:p>
        </w:tc>
        <w:tc>
          <w:tcPr>
            <w:tcW w:w="1951" w:type="dxa"/>
            <w:tcBorders>
              <w:top w:val="single" w:sz="4" w:space="0" w:color="auto"/>
              <w:left w:val="single" w:sz="4" w:space="0" w:color="auto"/>
              <w:bottom w:val="single" w:sz="4" w:space="0" w:color="auto"/>
              <w:right w:val="single" w:sz="4" w:space="0" w:color="auto"/>
            </w:tcBorders>
            <w:shd w:val="clear" w:color="F2F2F2" w:fill="F8CBAD"/>
            <w:noWrap/>
            <w:vAlign w:val="bottom"/>
            <w:hideMark/>
          </w:tcPr>
          <w:p w14:paraId="57201372"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2,27</w:t>
            </w:r>
          </w:p>
        </w:tc>
        <w:tc>
          <w:tcPr>
            <w:tcW w:w="1675" w:type="dxa"/>
            <w:tcBorders>
              <w:top w:val="single" w:sz="4" w:space="0" w:color="auto"/>
              <w:left w:val="single" w:sz="4" w:space="0" w:color="auto"/>
              <w:bottom w:val="single" w:sz="4" w:space="0" w:color="auto"/>
              <w:right w:val="single" w:sz="4" w:space="0" w:color="auto"/>
            </w:tcBorders>
            <w:shd w:val="clear" w:color="F2F2F2" w:fill="FFE699"/>
            <w:noWrap/>
            <w:vAlign w:val="bottom"/>
            <w:hideMark/>
          </w:tcPr>
          <w:p w14:paraId="0496D8F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single" w:sz="4" w:space="0" w:color="auto"/>
              <w:left w:val="single" w:sz="4" w:space="0" w:color="auto"/>
              <w:bottom w:val="single" w:sz="4" w:space="0" w:color="auto"/>
              <w:right w:val="single" w:sz="4" w:space="0" w:color="auto"/>
            </w:tcBorders>
            <w:shd w:val="clear" w:color="F2F2F2" w:fill="FFE699"/>
            <w:noWrap/>
            <w:vAlign w:val="bottom"/>
            <w:hideMark/>
          </w:tcPr>
          <w:p w14:paraId="2A0DC8A2"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6DD6A6F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5ED07A2B"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3</w:t>
            </w:r>
          </w:p>
        </w:tc>
        <w:tc>
          <w:tcPr>
            <w:tcW w:w="1387"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7EEBAA0B"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31E773D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14</w:t>
            </w:r>
          </w:p>
        </w:tc>
      </w:tr>
      <w:tr w:rsidR="000F2D6B" w:rsidRPr="000F2D6B" w14:paraId="36B998CF" w14:textId="77777777" w:rsidTr="008503B4">
        <w:trPr>
          <w:trHeight w:val="290"/>
        </w:trPr>
        <w:tc>
          <w:tcPr>
            <w:tcW w:w="3964"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5E27E0B6"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Wola Nowska</w:t>
            </w:r>
          </w:p>
        </w:tc>
        <w:tc>
          <w:tcPr>
            <w:tcW w:w="1951" w:type="dxa"/>
            <w:tcBorders>
              <w:top w:val="single" w:sz="4" w:space="0" w:color="auto"/>
              <w:left w:val="nil"/>
              <w:bottom w:val="single" w:sz="4" w:space="0" w:color="auto"/>
              <w:right w:val="single" w:sz="4" w:space="0" w:color="auto"/>
            </w:tcBorders>
            <w:shd w:val="clear" w:color="F2F2F2" w:fill="C6E0B4"/>
            <w:noWrap/>
            <w:vAlign w:val="bottom"/>
            <w:hideMark/>
          </w:tcPr>
          <w:p w14:paraId="3AE47FC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single" w:sz="4" w:space="0" w:color="auto"/>
              <w:left w:val="nil"/>
              <w:bottom w:val="single" w:sz="4" w:space="0" w:color="auto"/>
              <w:right w:val="single" w:sz="4" w:space="0" w:color="auto"/>
            </w:tcBorders>
            <w:shd w:val="clear" w:color="F2F2F2" w:fill="FFE699"/>
            <w:noWrap/>
            <w:vAlign w:val="bottom"/>
            <w:hideMark/>
          </w:tcPr>
          <w:p w14:paraId="6B07EBE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single" w:sz="4" w:space="0" w:color="auto"/>
              <w:left w:val="nil"/>
              <w:bottom w:val="single" w:sz="4" w:space="0" w:color="auto"/>
              <w:right w:val="single" w:sz="4" w:space="0" w:color="auto"/>
            </w:tcBorders>
            <w:shd w:val="clear" w:color="F2F2F2" w:fill="FFE699"/>
            <w:noWrap/>
            <w:vAlign w:val="bottom"/>
            <w:hideMark/>
          </w:tcPr>
          <w:p w14:paraId="29F31175"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single" w:sz="4" w:space="0" w:color="auto"/>
              <w:left w:val="nil"/>
              <w:bottom w:val="single" w:sz="4" w:space="0" w:color="auto"/>
              <w:right w:val="single" w:sz="4" w:space="0" w:color="auto"/>
            </w:tcBorders>
            <w:shd w:val="clear" w:color="000000" w:fill="F8CBAD"/>
            <w:noWrap/>
            <w:vAlign w:val="bottom"/>
            <w:hideMark/>
          </w:tcPr>
          <w:p w14:paraId="6CF1830D"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1,72</w:t>
            </w:r>
          </w:p>
        </w:tc>
        <w:tc>
          <w:tcPr>
            <w:tcW w:w="1537" w:type="dxa"/>
            <w:tcBorders>
              <w:top w:val="single" w:sz="4" w:space="0" w:color="auto"/>
              <w:left w:val="nil"/>
              <w:bottom w:val="single" w:sz="4" w:space="0" w:color="auto"/>
              <w:right w:val="single" w:sz="4" w:space="0" w:color="auto"/>
            </w:tcBorders>
            <w:shd w:val="clear" w:color="000000" w:fill="FFE699"/>
            <w:noWrap/>
            <w:vAlign w:val="bottom"/>
            <w:hideMark/>
          </w:tcPr>
          <w:p w14:paraId="083D89DB"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single" w:sz="4" w:space="0" w:color="auto"/>
              <w:left w:val="nil"/>
              <w:bottom w:val="single" w:sz="4" w:space="0" w:color="auto"/>
              <w:right w:val="single" w:sz="4" w:space="0" w:color="auto"/>
            </w:tcBorders>
            <w:shd w:val="clear" w:color="000000" w:fill="FFE699"/>
            <w:noWrap/>
            <w:vAlign w:val="bottom"/>
            <w:hideMark/>
          </w:tcPr>
          <w:p w14:paraId="3BDE3B0D"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single" w:sz="4" w:space="0" w:color="auto"/>
              <w:left w:val="nil"/>
              <w:bottom w:val="single" w:sz="4" w:space="0" w:color="auto"/>
              <w:right w:val="single" w:sz="4" w:space="0" w:color="auto"/>
            </w:tcBorders>
            <w:shd w:val="clear" w:color="000000" w:fill="FFE699"/>
            <w:noWrap/>
            <w:vAlign w:val="bottom"/>
            <w:hideMark/>
          </w:tcPr>
          <w:p w14:paraId="578C26C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12</w:t>
            </w:r>
          </w:p>
        </w:tc>
      </w:tr>
      <w:tr w:rsidR="000F2D6B" w:rsidRPr="000F2D6B" w14:paraId="44A7D9F0"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09280D3A"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Wychny</w:t>
            </w:r>
          </w:p>
        </w:tc>
        <w:tc>
          <w:tcPr>
            <w:tcW w:w="1951" w:type="dxa"/>
            <w:tcBorders>
              <w:top w:val="nil"/>
              <w:left w:val="nil"/>
              <w:bottom w:val="single" w:sz="4" w:space="0" w:color="auto"/>
              <w:right w:val="single" w:sz="4" w:space="0" w:color="auto"/>
            </w:tcBorders>
            <w:shd w:val="clear" w:color="F2F2F2" w:fill="C6E0B4"/>
            <w:noWrap/>
            <w:vAlign w:val="bottom"/>
            <w:hideMark/>
          </w:tcPr>
          <w:p w14:paraId="60901D3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FE699"/>
            <w:noWrap/>
            <w:vAlign w:val="bottom"/>
            <w:hideMark/>
          </w:tcPr>
          <w:p w14:paraId="13BED60D"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1B26743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C6E0B4"/>
            <w:noWrap/>
            <w:vAlign w:val="bottom"/>
            <w:hideMark/>
          </w:tcPr>
          <w:p w14:paraId="2D45EE86"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nil"/>
              <w:left w:val="nil"/>
              <w:bottom w:val="single" w:sz="4" w:space="0" w:color="auto"/>
              <w:right w:val="single" w:sz="4" w:space="0" w:color="auto"/>
            </w:tcBorders>
            <w:shd w:val="clear" w:color="000000" w:fill="FFE699"/>
            <w:noWrap/>
            <w:vAlign w:val="bottom"/>
            <w:hideMark/>
          </w:tcPr>
          <w:p w14:paraId="6EDC648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180913F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C6E0B4"/>
            <w:noWrap/>
            <w:vAlign w:val="bottom"/>
            <w:hideMark/>
          </w:tcPr>
          <w:p w14:paraId="2F50AA73"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10</w:t>
            </w:r>
          </w:p>
        </w:tc>
      </w:tr>
      <w:tr w:rsidR="000F2D6B" w:rsidRPr="000F2D6B" w14:paraId="24668979"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7660B60F"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Wymysłów</w:t>
            </w:r>
          </w:p>
        </w:tc>
        <w:tc>
          <w:tcPr>
            <w:tcW w:w="1951" w:type="dxa"/>
            <w:tcBorders>
              <w:top w:val="nil"/>
              <w:left w:val="nil"/>
              <w:bottom w:val="single" w:sz="4" w:space="0" w:color="auto"/>
              <w:right w:val="single" w:sz="4" w:space="0" w:color="auto"/>
            </w:tcBorders>
            <w:shd w:val="clear" w:color="F2F2F2" w:fill="C6E0B4"/>
            <w:noWrap/>
            <w:vAlign w:val="bottom"/>
            <w:hideMark/>
          </w:tcPr>
          <w:p w14:paraId="77355089"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FE699"/>
            <w:noWrap/>
            <w:vAlign w:val="bottom"/>
            <w:hideMark/>
          </w:tcPr>
          <w:p w14:paraId="535F97F9"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1555FD35"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C6E0B4"/>
            <w:noWrap/>
            <w:vAlign w:val="bottom"/>
            <w:hideMark/>
          </w:tcPr>
          <w:p w14:paraId="1EDF944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nil"/>
              <w:left w:val="nil"/>
              <w:bottom w:val="single" w:sz="4" w:space="0" w:color="auto"/>
              <w:right w:val="single" w:sz="4" w:space="0" w:color="auto"/>
            </w:tcBorders>
            <w:shd w:val="clear" w:color="000000" w:fill="FFE699"/>
            <w:noWrap/>
            <w:vAlign w:val="bottom"/>
            <w:hideMark/>
          </w:tcPr>
          <w:p w14:paraId="0247255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7E70E02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C6E0B4"/>
            <w:noWrap/>
            <w:vAlign w:val="bottom"/>
            <w:hideMark/>
          </w:tcPr>
          <w:p w14:paraId="4B5559E5"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10</w:t>
            </w:r>
          </w:p>
        </w:tc>
      </w:tr>
      <w:tr w:rsidR="000F2D6B" w:rsidRPr="000F2D6B" w14:paraId="44BBFC3A"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0CB4B449"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Zalesie</w:t>
            </w:r>
          </w:p>
        </w:tc>
        <w:tc>
          <w:tcPr>
            <w:tcW w:w="1951" w:type="dxa"/>
            <w:tcBorders>
              <w:top w:val="nil"/>
              <w:left w:val="nil"/>
              <w:bottom w:val="single" w:sz="4" w:space="0" w:color="auto"/>
              <w:right w:val="single" w:sz="4" w:space="0" w:color="auto"/>
            </w:tcBorders>
            <w:shd w:val="clear" w:color="F2F2F2" w:fill="C6E0B4"/>
            <w:noWrap/>
            <w:vAlign w:val="bottom"/>
            <w:hideMark/>
          </w:tcPr>
          <w:p w14:paraId="0B751962"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FE699"/>
            <w:noWrap/>
            <w:vAlign w:val="bottom"/>
            <w:hideMark/>
          </w:tcPr>
          <w:p w14:paraId="265B754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1DB00DBA"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F8CBAD"/>
            <w:noWrap/>
            <w:vAlign w:val="bottom"/>
            <w:hideMark/>
          </w:tcPr>
          <w:p w14:paraId="060B4AA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1,12</w:t>
            </w:r>
          </w:p>
        </w:tc>
        <w:tc>
          <w:tcPr>
            <w:tcW w:w="1537" w:type="dxa"/>
            <w:tcBorders>
              <w:top w:val="nil"/>
              <w:left w:val="nil"/>
              <w:bottom w:val="single" w:sz="4" w:space="0" w:color="auto"/>
              <w:right w:val="single" w:sz="4" w:space="0" w:color="auto"/>
            </w:tcBorders>
            <w:shd w:val="clear" w:color="000000" w:fill="FFE699"/>
            <w:noWrap/>
            <w:vAlign w:val="bottom"/>
            <w:hideMark/>
          </w:tcPr>
          <w:p w14:paraId="7A3A9C7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3592426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FFE699"/>
            <w:noWrap/>
            <w:vAlign w:val="bottom"/>
            <w:hideMark/>
          </w:tcPr>
          <w:p w14:paraId="47092422"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12</w:t>
            </w:r>
          </w:p>
        </w:tc>
      </w:tr>
      <w:tr w:rsidR="000F2D6B" w:rsidRPr="000F2D6B" w14:paraId="12471752" w14:textId="77777777" w:rsidTr="006F5A93">
        <w:trPr>
          <w:trHeight w:val="290"/>
        </w:trPr>
        <w:tc>
          <w:tcPr>
            <w:tcW w:w="3964" w:type="dxa"/>
            <w:tcBorders>
              <w:top w:val="nil"/>
              <w:left w:val="single" w:sz="4" w:space="0" w:color="auto"/>
              <w:bottom w:val="single" w:sz="4" w:space="0" w:color="auto"/>
              <w:right w:val="single" w:sz="4" w:space="0" w:color="auto"/>
            </w:tcBorders>
            <w:shd w:val="clear" w:color="F2F2F2" w:fill="FFFFFF"/>
            <w:noWrap/>
            <w:vAlign w:val="bottom"/>
            <w:hideMark/>
          </w:tcPr>
          <w:p w14:paraId="7AC808AB"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Sołectwo Zieleniew</w:t>
            </w:r>
          </w:p>
        </w:tc>
        <w:tc>
          <w:tcPr>
            <w:tcW w:w="1951" w:type="dxa"/>
            <w:tcBorders>
              <w:top w:val="nil"/>
              <w:left w:val="nil"/>
              <w:bottom w:val="single" w:sz="4" w:space="0" w:color="auto"/>
              <w:right w:val="single" w:sz="4" w:space="0" w:color="auto"/>
            </w:tcBorders>
            <w:shd w:val="clear" w:color="F2F2F2" w:fill="C6E0B4"/>
            <w:noWrap/>
            <w:vAlign w:val="bottom"/>
            <w:hideMark/>
          </w:tcPr>
          <w:p w14:paraId="670192E3"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675" w:type="dxa"/>
            <w:tcBorders>
              <w:top w:val="nil"/>
              <w:left w:val="nil"/>
              <w:bottom w:val="single" w:sz="4" w:space="0" w:color="auto"/>
              <w:right w:val="single" w:sz="4" w:space="0" w:color="auto"/>
            </w:tcBorders>
            <w:shd w:val="clear" w:color="F2F2F2" w:fill="FFE699"/>
            <w:noWrap/>
            <w:vAlign w:val="bottom"/>
            <w:hideMark/>
          </w:tcPr>
          <w:p w14:paraId="426CF797"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nil"/>
              <w:left w:val="nil"/>
              <w:bottom w:val="single" w:sz="4" w:space="0" w:color="auto"/>
              <w:right w:val="single" w:sz="4" w:space="0" w:color="auto"/>
            </w:tcBorders>
            <w:shd w:val="clear" w:color="F2F2F2" w:fill="FFE699"/>
            <w:noWrap/>
            <w:vAlign w:val="bottom"/>
            <w:hideMark/>
          </w:tcPr>
          <w:p w14:paraId="69632FA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4" w:type="dxa"/>
            <w:tcBorders>
              <w:top w:val="nil"/>
              <w:left w:val="nil"/>
              <w:bottom w:val="single" w:sz="4" w:space="0" w:color="auto"/>
              <w:right w:val="single" w:sz="4" w:space="0" w:color="auto"/>
            </w:tcBorders>
            <w:shd w:val="clear" w:color="000000" w:fill="C6E0B4"/>
            <w:noWrap/>
            <w:vAlign w:val="bottom"/>
            <w:hideMark/>
          </w:tcPr>
          <w:p w14:paraId="1D26E9D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0,00</w:t>
            </w:r>
          </w:p>
        </w:tc>
        <w:tc>
          <w:tcPr>
            <w:tcW w:w="1537" w:type="dxa"/>
            <w:tcBorders>
              <w:top w:val="nil"/>
              <w:left w:val="nil"/>
              <w:bottom w:val="single" w:sz="4" w:space="0" w:color="auto"/>
              <w:right w:val="single" w:sz="4" w:space="0" w:color="auto"/>
            </w:tcBorders>
            <w:shd w:val="clear" w:color="000000" w:fill="FFE699"/>
            <w:noWrap/>
            <w:vAlign w:val="bottom"/>
            <w:hideMark/>
          </w:tcPr>
          <w:p w14:paraId="78E49E7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nil"/>
              <w:left w:val="nil"/>
              <w:bottom w:val="single" w:sz="4" w:space="0" w:color="auto"/>
              <w:right w:val="single" w:sz="4" w:space="0" w:color="auto"/>
            </w:tcBorders>
            <w:shd w:val="clear" w:color="000000" w:fill="FFE699"/>
            <w:noWrap/>
            <w:vAlign w:val="bottom"/>
            <w:hideMark/>
          </w:tcPr>
          <w:p w14:paraId="75A0F7A6"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nil"/>
              <w:left w:val="nil"/>
              <w:bottom w:val="single" w:sz="4" w:space="0" w:color="auto"/>
              <w:right w:val="single" w:sz="4" w:space="0" w:color="auto"/>
            </w:tcBorders>
            <w:shd w:val="clear" w:color="000000" w:fill="C6E0B4"/>
            <w:noWrap/>
            <w:vAlign w:val="bottom"/>
            <w:hideMark/>
          </w:tcPr>
          <w:p w14:paraId="3B499E3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10</w:t>
            </w:r>
          </w:p>
        </w:tc>
      </w:tr>
      <w:tr w:rsidR="000F2D6B" w:rsidRPr="000F2D6B" w14:paraId="7D55A138" w14:textId="77777777" w:rsidTr="006F5A93">
        <w:trPr>
          <w:trHeight w:val="285"/>
        </w:trPr>
        <w:tc>
          <w:tcPr>
            <w:tcW w:w="3964" w:type="dxa"/>
            <w:tcBorders>
              <w:top w:val="nil"/>
              <w:left w:val="nil"/>
              <w:bottom w:val="nil"/>
              <w:right w:val="nil"/>
            </w:tcBorders>
            <w:noWrap/>
            <w:vAlign w:val="bottom"/>
            <w:hideMark/>
          </w:tcPr>
          <w:p w14:paraId="4C5663E1"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p>
        </w:tc>
        <w:tc>
          <w:tcPr>
            <w:tcW w:w="1951" w:type="dxa"/>
            <w:tcBorders>
              <w:top w:val="nil"/>
              <w:left w:val="nil"/>
              <w:bottom w:val="nil"/>
              <w:right w:val="nil"/>
            </w:tcBorders>
            <w:noWrap/>
            <w:vAlign w:val="bottom"/>
            <w:hideMark/>
          </w:tcPr>
          <w:p w14:paraId="29428655" w14:textId="77777777" w:rsidR="000F2D6B" w:rsidRPr="000F2D6B" w:rsidRDefault="000F2D6B" w:rsidP="000F2D6B">
            <w:pPr>
              <w:suppressAutoHyphens w:val="0"/>
              <w:autoSpaceDN/>
              <w:spacing w:after="0"/>
              <w:textAlignment w:val="auto"/>
              <w:rPr>
                <w:rFonts w:ascii="Times New Roman" w:eastAsia="Times New Roman" w:hAnsi="Times New Roman"/>
                <w:sz w:val="20"/>
                <w:szCs w:val="20"/>
                <w:lang w:eastAsia="pl-PL"/>
              </w:rPr>
            </w:pPr>
          </w:p>
        </w:tc>
        <w:tc>
          <w:tcPr>
            <w:tcW w:w="1675" w:type="dxa"/>
            <w:tcBorders>
              <w:top w:val="nil"/>
              <w:left w:val="nil"/>
              <w:bottom w:val="nil"/>
              <w:right w:val="nil"/>
            </w:tcBorders>
            <w:noWrap/>
            <w:vAlign w:val="bottom"/>
            <w:hideMark/>
          </w:tcPr>
          <w:p w14:paraId="78282B50" w14:textId="77777777" w:rsidR="000F2D6B" w:rsidRPr="000F2D6B" w:rsidRDefault="000F2D6B" w:rsidP="000F2D6B">
            <w:pPr>
              <w:suppressAutoHyphens w:val="0"/>
              <w:autoSpaceDN/>
              <w:spacing w:after="0"/>
              <w:textAlignment w:val="auto"/>
              <w:rPr>
                <w:rFonts w:ascii="Times New Roman" w:eastAsia="Times New Roman" w:hAnsi="Times New Roman"/>
                <w:sz w:val="20"/>
                <w:szCs w:val="20"/>
                <w:lang w:eastAsia="pl-PL"/>
              </w:rPr>
            </w:pPr>
          </w:p>
        </w:tc>
        <w:tc>
          <w:tcPr>
            <w:tcW w:w="1696" w:type="dxa"/>
            <w:tcBorders>
              <w:top w:val="nil"/>
              <w:left w:val="nil"/>
              <w:bottom w:val="nil"/>
              <w:right w:val="nil"/>
            </w:tcBorders>
            <w:shd w:val="clear" w:color="F2F2F2" w:fill="FFFFFF"/>
            <w:noWrap/>
            <w:vAlign w:val="bottom"/>
            <w:hideMark/>
          </w:tcPr>
          <w:p w14:paraId="3812A45C"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534" w:type="dxa"/>
            <w:tcBorders>
              <w:top w:val="nil"/>
              <w:left w:val="nil"/>
              <w:bottom w:val="nil"/>
              <w:right w:val="nil"/>
            </w:tcBorders>
            <w:noWrap/>
            <w:vAlign w:val="bottom"/>
            <w:hideMark/>
          </w:tcPr>
          <w:p w14:paraId="3E38207C" w14:textId="77777777" w:rsidR="000F2D6B" w:rsidRPr="000F2D6B" w:rsidRDefault="000F2D6B" w:rsidP="000F2D6B">
            <w:pPr>
              <w:suppressAutoHyphens w:val="0"/>
              <w:autoSpaceDN/>
              <w:spacing w:after="0"/>
              <w:textAlignment w:val="auto"/>
              <w:rPr>
                <w:rFonts w:eastAsia="Times New Roman" w:cs="Calibri"/>
                <w:color w:val="000000"/>
                <w:lang w:eastAsia="pl-PL"/>
              </w:rPr>
            </w:pPr>
          </w:p>
        </w:tc>
        <w:tc>
          <w:tcPr>
            <w:tcW w:w="1537" w:type="dxa"/>
            <w:tcBorders>
              <w:top w:val="nil"/>
              <w:left w:val="nil"/>
              <w:bottom w:val="nil"/>
              <w:right w:val="nil"/>
            </w:tcBorders>
            <w:noWrap/>
            <w:vAlign w:val="bottom"/>
            <w:hideMark/>
          </w:tcPr>
          <w:p w14:paraId="0A42FE55" w14:textId="77777777" w:rsidR="000F2D6B" w:rsidRPr="000F2D6B" w:rsidRDefault="000F2D6B" w:rsidP="000F2D6B">
            <w:pPr>
              <w:suppressAutoHyphens w:val="0"/>
              <w:autoSpaceDN/>
              <w:spacing w:after="0"/>
              <w:textAlignment w:val="auto"/>
              <w:rPr>
                <w:rFonts w:ascii="Times New Roman" w:eastAsia="Times New Roman" w:hAnsi="Times New Roman"/>
                <w:sz w:val="20"/>
                <w:szCs w:val="20"/>
                <w:lang w:eastAsia="pl-PL"/>
              </w:rPr>
            </w:pPr>
          </w:p>
        </w:tc>
        <w:tc>
          <w:tcPr>
            <w:tcW w:w="1387" w:type="dxa"/>
            <w:tcBorders>
              <w:top w:val="nil"/>
              <w:left w:val="nil"/>
              <w:bottom w:val="nil"/>
              <w:right w:val="nil"/>
            </w:tcBorders>
            <w:noWrap/>
            <w:vAlign w:val="bottom"/>
            <w:hideMark/>
          </w:tcPr>
          <w:p w14:paraId="4723A8B8" w14:textId="77777777" w:rsidR="000F2D6B" w:rsidRPr="000F2D6B" w:rsidRDefault="000F2D6B" w:rsidP="000F2D6B">
            <w:pPr>
              <w:suppressAutoHyphens w:val="0"/>
              <w:autoSpaceDN/>
              <w:spacing w:after="0"/>
              <w:textAlignment w:val="auto"/>
              <w:rPr>
                <w:rFonts w:ascii="Times New Roman" w:eastAsia="Times New Roman" w:hAnsi="Times New Roman"/>
                <w:sz w:val="20"/>
                <w:szCs w:val="20"/>
                <w:lang w:eastAsia="pl-PL"/>
              </w:rPr>
            </w:pPr>
          </w:p>
        </w:tc>
        <w:tc>
          <w:tcPr>
            <w:tcW w:w="1537" w:type="dxa"/>
            <w:tcBorders>
              <w:top w:val="nil"/>
              <w:left w:val="nil"/>
              <w:bottom w:val="nil"/>
              <w:right w:val="nil"/>
            </w:tcBorders>
            <w:noWrap/>
            <w:vAlign w:val="bottom"/>
            <w:hideMark/>
          </w:tcPr>
          <w:p w14:paraId="3E0C6A45" w14:textId="77777777" w:rsidR="000F2D6B" w:rsidRPr="000F2D6B" w:rsidRDefault="000F2D6B" w:rsidP="000F2D6B">
            <w:pPr>
              <w:suppressAutoHyphens w:val="0"/>
              <w:autoSpaceDN/>
              <w:spacing w:after="0"/>
              <w:textAlignment w:val="auto"/>
              <w:rPr>
                <w:rFonts w:ascii="Times New Roman" w:eastAsia="Times New Roman" w:hAnsi="Times New Roman"/>
                <w:sz w:val="20"/>
                <w:szCs w:val="20"/>
                <w:lang w:eastAsia="pl-PL"/>
              </w:rPr>
            </w:pPr>
          </w:p>
        </w:tc>
      </w:tr>
      <w:tr w:rsidR="000F2D6B" w:rsidRPr="000F2D6B" w14:paraId="50AD0959" w14:textId="77777777" w:rsidTr="006F5A93">
        <w:trPr>
          <w:trHeight w:val="285"/>
        </w:trPr>
        <w:tc>
          <w:tcPr>
            <w:tcW w:w="3964" w:type="dxa"/>
            <w:tcBorders>
              <w:top w:val="single" w:sz="4" w:space="0" w:color="auto"/>
              <w:left w:val="single" w:sz="4" w:space="0" w:color="auto"/>
              <w:bottom w:val="single" w:sz="4" w:space="0" w:color="auto"/>
              <w:right w:val="nil"/>
            </w:tcBorders>
            <w:vAlign w:val="center"/>
            <w:hideMark/>
          </w:tcPr>
          <w:p w14:paraId="5916DE79"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Średnia</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5D61AEFB"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1,55</w:t>
            </w:r>
          </w:p>
        </w:tc>
        <w:tc>
          <w:tcPr>
            <w:tcW w:w="1675" w:type="dxa"/>
            <w:tcBorders>
              <w:top w:val="single" w:sz="4" w:space="0" w:color="auto"/>
              <w:left w:val="nil"/>
              <w:bottom w:val="single" w:sz="4" w:space="0" w:color="auto"/>
              <w:right w:val="single" w:sz="4" w:space="0" w:color="auto"/>
            </w:tcBorders>
            <w:noWrap/>
            <w:vAlign w:val="bottom"/>
            <w:hideMark/>
          </w:tcPr>
          <w:p w14:paraId="0782CA06"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2,21</w:t>
            </w:r>
          </w:p>
        </w:tc>
        <w:tc>
          <w:tcPr>
            <w:tcW w:w="1696" w:type="dxa"/>
            <w:tcBorders>
              <w:top w:val="single" w:sz="4" w:space="0" w:color="auto"/>
              <w:left w:val="nil"/>
              <w:bottom w:val="single" w:sz="4" w:space="0" w:color="auto"/>
              <w:right w:val="single" w:sz="4" w:space="0" w:color="auto"/>
            </w:tcBorders>
            <w:noWrap/>
            <w:vAlign w:val="bottom"/>
            <w:hideMark/>
          </w:tcPr>
          <w:p w14:paraId="3F8CFEC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2,14</w:t>
            </w:r>
          </w:p>
        </w:tc>
        <w:tc>
          <w:tcPr>
            <w:tcW w:w="1534" w:type="dxa"/>
            <w:tcBorders>
              <w:top w:val="single" w:sz="4" w:space="0" w:color="auto"/>
              <w:left w:val="nil"/>
              <w:bottom w:val="single" w:sz="4" w:space="0" w:color="auto"/>
              <w:right w:val="single" w:sz="4" w:space="0" w:color="auto"/>
            </w:tcBorders>
            <w:noWrap/>
            <w:vAlign w:val="bottom"/>
            <w:hideMark/>
          </w:tcPr>
          <w:p w14:paraId="1F17E846"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0,38</w:t>
            </w:r>
          </w:p>
        </w:tc>
        <w:tc>
          <w:tcPr>
            <w:tcW w:w="1537" w:type="dxa"/>
            <w:tcBorders>
              <w:top w:val="single" w:sz="4" w:space="0" w:color="auto"/>
              <w:left w:val="nil"/>
              <w:bottom w:val="single" w:sz="4" w:space="0" w:color="auto"/>
              <w:right w:val="single" w:sz="4" w:space="0" w:color="auto"/>
            </w:tcBorders>
            <w:noWrap/>
            <w:vAlign w:val="bottom"/>
            <w:hideMark/>
          </w:tcPr>
          <w:p w14:paraId="73368B2F"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2,18</w:t>
            </w:r>
          </w:p>
        </w:tc>
        <w:tc>
          <w:tcPr>
            <w:tcW w:w="1387" w:type="dxa"/>
            <w:tcBorders>
              <w:top w:val="single" w:sz="4" w:space="0" w:color="auto"/>
              <w:left w:val="nil"/>
              <w:bottom w:val="single" w:sz="4" w:space="0" w:color="auto"/>
              <w:right w:val="single" w:sz="4" w:space="0" w:color="auto"/>
            </w:tcBorders>
            <w:noWrap/>
            <w:vAlign w:val="bottom"/>
            <w:hideMark/>
          </w:tcPr>
          <w:p w14:paraId="0E868E67"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2,21</w:t>
            </w:r>
          </w:p>
        </w:tc>
        <w:tc>
          <w:tcPr>
            <w:tcW w:w="1537" w:type="dxa"/>
            <w:tcBorders>
              <w:top w:val="single" w:sz="4" w:space="0" w:color="auto"/>
              <w:left w:val="nil"/>
              <w:bottom w:val="single" w:sz="4" w:space="0" w:color="auto"/>
              <w:right w:val="single" w:sz="4" w:space="0" w:color="auto"/>
            </w:tcBorders>
            <w:noWrap/>
            <w:vAlign w:val="bottom"/>
            <w:hideMark/>
          </w:tcPr>
          <w:p w14:paraId="5B11B080" w14:textId="28803CD1"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12,</w:t>
            </w:r>
            <w:r w:rsidR="00673E76">
              <w:rPr>
                <w:rFonts w:eastAsia="Times New Roman" w:cs="Calibri"/>
                <w:color w:val="000000"/>
                <w:lang w:eastAsia="pl-PL"/>
              </w:rPr>
              <w:t>71</w:t>
            </w:r>
          </w:p>
        </w:tc>
      </w:tr>
      <w:tr w:rsidR="000F2D6B" w:rsidRPr="000F2D6B" w14:paraId="5DEA8F13" w14:textId="77777777" w:rsidTr="006F5A93">
        <w:trPr>
          <w:trHeight w:val="285"/>
        </w:trPr>
        <w:tc>
          <w:tcPr>
            <w:tcW w:w="3964" w:type="dxa"/>
            <w:tcBorders>
              <w:top w:val="single" w:sz="4" w:space="0" w:color="auto"/>
              <w:left w:val="single" w:sz="4" w:space="0" w:color="auto"/>
              <w:bottom w:val="single" w:sz="4" w:space="0" w:color="auto"/>
              <w:right w:val="single" w:sz="4" w:space="0" w:color="auto"/>
            </w:tcBorders>
            <w:vAlign w:val="center"/>
            <w:hideMark/>
          </w:tcPr>
          <w:p w14:paraId="194C75EC"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xml:space="preserve">Przedział średniej </w:t>
            </w:r>
          </w:p>
        </w:tc>
        <w:tc>
          <w:tcPr>
            <w:tcW w:w="1951" w:type="dxa"/>
            <w:tcBorders>
              <w:top w:val="single" w:sz="4" w:space="0" w:color="auto"/>
              <w:left w:val="single" w:sz="4" w:space="0" w:color="auto"/>
              <w:bottom w:val="single" w:sz="4" w:space="0" w:color="auto"/>
              <w:right w:val="single" w:sz="4" w:space="0" w:color="auto"/>
            </w:tcBorders>
            <w:vAlign w:val="center"/>
            <w:hideMark/>
          </w:tcPr>
          <w:p w14:paraId="2554A95D"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1,32-1,93</w:t>
            </w:r>
          </w:p>
        </w:tc>
        <w:tc>
          <w:tcPr>
            <w:tcW w:w="1675" w:type="dxa"/>
            <w:tcBorders>
              <w:top w:val="single" w:sz="4" w:space="0" w:color="auto"/>
              <w:left w:val="nil"/>
              <w:bottom w:val="single" w:sz="4" w:space="0" w:color="auto"/>
              <w:right w:val="single" w:sz="4" w:space="0" w:color="auto"/>
            </w:tcBorders>
            <w:vAlign w:val="center"/>
            <w:hideMark/>
          </w:tcPr>
          <w:p w14:paraId="3BF22B5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696" w:type="dxa"/>
            <w:tcBorders>
              <w:top w:val="single" w:sz="4" w:space="0" w:color="auto"/>
              <w:left w:val="nil"/>
              <w:bottom w:val="single" w:sz="4" w:space="0" w:color="auto"/>
              <w:right w:val="single" w:sz="4" w:space="0" w:color="auto"/>
            </w:tcBorders>
            <w:vAlign w:val="center"/>
            <w:hideMark/>
          </w:tcPr>
          <w:p w14:paraId="5475077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6-9.</w:t>
            </w:r>
          </w:p>
        </w:tc>
        <w:tc>
          <w:tcPr>
            <w:tcW w:w="1534" w:type="dxa"/>
            <w:tcBorders>
              <w:top w:val="single" w:sz="4" w:space="0" w:color="auto"/>
              <w:left w:val="nil"/>
              <w:bottom w:val="single" w:sz="4" w:space="0" w:color="auto"/>
              <w:right w:val="single" w:sz="4" w:space="0" w:color="auto"/>
            </w:tcBorders>
            <w:vAlign w:val="center"/>
            <w:hideMark/>
          </w:tcPr>
          <w:p w14:paraId="28AD155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0,3-0,4</w:t>
            </w:r>
          </w:p>
        </w:tc>
        <w:tc>
          <w:tcPr>
            <w:tcW w:w="1537" w:type="dxa"/>
            <w:tcBorders>
              <w:top w:val="single" w:sz="4" w:space="0" w:color="auto"/>
              <w:left w:val="nil"/>
              <w:bottom w:val="single" w:sz="4" w:space="0" w:color="auto"/>
              <w:right w:val="single" w:sz="4" w:space="0" w:color="auto"/>
            </w:tcBorders>
            <w:vAlign w:val="center"/>
            <w:hideMark/>
          </w:tcPr>
          <w:p w14:paraId="13175BC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387" w:type="dxa"/>
            <w:tcBorders>
              <w:top w:val="single" w:sz="4" w:space="0" w:color="auto"/>
              <w:left w:val="nil"/>
              <w:bottom w:val="single" w:sz="4" w:space="0" w:color="auto"/>
              <w:right w:val="single" w:sz="4" w:space="0" w:color="auto"/>
            </w:tcBorders>
            <w:vAlign w:val="center"/>
            <w:hideMark/>
          </w:tcPr>
          <w:p w14:paraId="0229BB17"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2.</w:t>
            </w:r>
          </w:p>
        </w:tc>
        <w:tc>
          <w:tcPr>
            <w:tcW w:w="1537" w:type="dxa"/>
            <w:tcBorders>
              <w:top w:val="single" w:sz="4" w:space="0" w:color="auto"/>
              <w:left w:val="nil"/>
              <w:bottom w:val="single" w:sz="4" w:space="0" w:color="auto"/>
              <w:right w:val="single" w:sz="4" w:space="0" w:color="auto"/>
            </w:tcBorders>
            <w:vAlign w:val="center"/>
            <w:hideMark/>
          </w:tcPr>
          <w:p w14:paraId="15FB1F4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11-14.</w:t>
            </w:r>
          </w:p>
        </w:tc>
      </w:tr>
      <w:tr w:rsidR="000F2D6B" w:rsidRPr="000F2D6B" w14:paraId="5725ECFC" w14:textId="77777777" w:rsidTr="006F5A93">
        <w:trPr>
          <w:trHeight w:val="285"/>
        </w:trPr>
        <w:tc>
          <w:tcPr>
            <w:tcW w:w="396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A7FBEEC"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Wartość minimalna do korelacji</w:t>
            </w:r>
          </w:p>
        </w:tc>
        <w:tc>
          <w:tcPr>
            <w:tcW w:w="1951" w:type="dxa"/>
            <w:tcBorders>
              <w:top w:val="nil"/>
              <w:left w:val="single" w:sz="4" w:space="0" w:color="auto"/>
              <w:bottom w:val="single" w:sz="4" w:space="0" w:color="auto"/>
              <w:right w:val="single" w:sz="4" w:space="0" w:color="auto"/>
            </w:tcBorders>
            <w:shd w:val="clear" w:color="000000" w:fill="E7E6E6"/>
            <w:vAlign w:val="bottom"/>
            <w:hideMark/>
          </w:tcPr>
          <w:p w14:paraId="61CC103D"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0,23</w:t>
            </w:r>
          </w:p>
        </w:tc>
        <w:tc>
          <w:tcPr>
            <w:tcW w:w="1675" w:type="dxa"/>
            <w:tcBorders>
              <w:top w:val="nil"/>
              <w:left w:val="nil"/>
              <w:bottom w:val="single" w:sz="4" w:space="0" w:color="auto"/>
              <w:right w:val="single" w:sz="4" w:space="0" w:color="auto"/>
            </w:tcBorders>
            <w:shd w:val="clear" w:color="000000" w:fill="E7E6E6"/>
            <w:vAlign w:val="bottom"/>
            <w:hideMark/>
          </w:tcPr>
          <w:p w14:paraId="6C97F050"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0,33</w:t>
            </w:r>
          </w:p>
        </w:tc>
        <w:tc>
          <w:tcPr>
            <w:tcW w:w="1696" w:type="dxa"/>
            <w:tcBorders>
              <w:top w:val="nil"/>
              <w:left w:val="nil"/>
              <w:bottom w:val="single" w:sz="4" w:space="0" w:color="auto"/>
              <w:right w:val="single" w:sz="4" w:space="0" w:color="auto"/>
            </w:tcBorders>
            <w:shd w:val="clear" w:color="000000" w:fill="E7E6E6"/>
            <w:vAlign w:val="bottom"/>
            <w:hideMark/>
          </w:tcPr>
          <w:p w14:paraId="1BEB2C71"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0,32</w:t>
            </w:r>
          </w:p>
        </w:tc>
        <w:tc>
          <w:tcPr>
            <w:tcW w:w="1534" w:type="dxa"/>
            <w:tcBorders>
              <w:top w:val="nil"/>
              <w:left w:val="nil"/>
              <w:bottom w:val="single" w:sz="4" w:space="0" w:color="auto"/>
              <w:right w:val="single" w:sz="4" w:space="0" w:color="auto"/>
            </w:tcBorders>
            <w:shd w:val="clear" w:color="000000" w:fill="E7E6E6"/>
            <w:vAlign w:val="bottom"/>
            <w:hideMark/>
          </w:tcPr>
          <w:p w14:paraId="2814BCCD"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0,06</w:t>
            </w:r>
          </w:p>
        </w:tc>
        <w:tc>
          <w:tcPr>
            <w:tcW w:w="1537" w:type="dxa"/>
            <w:tcBorders>
              <w:top w:val="nil"/>
              <w:left w:val="nil"/>
              <w:bottom w:val="single" w:sz="4" w:space="0" w:color="auto"/>
              <w:right w:val="single" w:sz="4" w:space="0" w:color="auto"/>
            </w:tcBorders>
            <w:shd w:val="clear" w:color="000000" w:fill="E7E6E6"/>
            <w:vAlign w:val="bottom"/>
            <w:hideMark/>
          </w:tcPr>
          <w:p w14:paraId="3E9BBE78"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0,33</w:t>
            </w:r>
          </w:p>
        </w:tc>
        <w:tc>
          <w:tcPr>
            <w:tcW w:w="1387" w:type="dxa"/>
            <w:tcBorders>
              <w:top w:val="nil"/>
              <w:left w:val="nil"/>
              <w:bottom w:val="single" w:sz="4" w:space="0" w:color="auto"/>
              <w:right w:val="single" w:sz="4" w:space="0" w:color="auto"/>
            </w:tcBorders>
            <w:shd w:val="clear" w:color="000000" w:fill="E7E6E6"/>
            <w:vAlign w:val="bottom"/>
            <w:hideMark/>
          </w:tcPr>
          <w:p w14:paraId="77E6CBB2"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0,33</w:t>
            </w:r>
          </w:p>
        </w:tc>
        <w:tc>
          <w:tcPr>
            <w:tcW w:w="1537" w:type="dxa"/>
            <w:tcBorders>
              <w:top w:val="nil"/>
              <w:left w:val="nil"/>
              <w:bottom w:val="single" w:sz="4" w:space="0" w:color="auto"/>
              <w:right w:val="single" w:sz="4" w:space="0" w:color="auto"/>
            </w:tcBorders>
            <w:shd w:val="clear" w:color="000000" w:fill="E7E6E6"/>
            <w:vAlign w:val="bottom"/>
            <w:hideMark/>
          </w:tcPr>
          <w:p w14:paraId="6C215E27"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1,29</w:t>
            </w:r>
          </w:p>
        </w:tc>
      </w:tr>
      <w:tr w:rsidR="000F2D6B" w:rsidRPr="000F2D6B" w14:paraId="4380D8C5" w14:textId="77777777" w:rsidTr="006F5A93">
        <w:trPr>
          <w:trHeight w:val="285"/>
        </w:trPr>
        <w:tc>
          <w:tcPr>
            <w:tcW w:w="3964" w:type="dxa"/>
            <w:tcBorders>
              <w:top w:val="nil"/>
              <w:left w:val="single" w:sz="4" w:space="0" w:color="auto"/>
              <w:bottom w:val="single" w:sz="4" w:space="0" w:color="auto"/>
              <w:right w:val="nil"/>
            </w:tcBorders>
            <w:shd w:val="clear" w:color="000000" w:fill="E7E6E6"/>
            <w:vAlign w:val="bottom"/>
            <w:hideMark/>
          </w:tcPr>
          <w:p w14:paraId="65017243"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Wartość maksymalna do korelacji</w:t>
            </w:r>
          </w:p>
        </w:tc>
        <w:tc>
          <w:tcPr>
            <w:tcW w:w="1951" w:type="dxa"/>
            <w:tcBorders>
              <w:top w:val="nil"/>
              <w:left w:val="single" w:sz="4" w:space="0" w:color="auto"/>
              <w:bottom w:val="single" w:sz="4" w:space="0" w:color="auto"/>
              <w:right w:val="single" w:sz="4" w:space="0" w:color="auto"/>
            </w:tcBorders>
            <w:shd w:val="clear" w:color="000000" w:fill="E7E6E6"/>
            <w:vAlign w:val="bottom"/>
            <w:hideMark/>
          </w:tcPr>
          <w:p w14:paraId="038951B4"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0,39</w:t>
            </w:r>
          </w:p>
        </w:tc>
        <w:tc>
          <w:tcPr>
            <w:tcW w:w="1675" w:type="dxa"/>
            <w:tcBorders>
              <w:top w:val="nil"/>
              <w:left w:val="nil"/>
              <w:bottom w:val="single" w:sz="4" w:space="0" w:color="auto"/>
              <w:right w:val="single" w:sz="4" w:space="0" w:color="auto"/>
            </w:tcBorders>
            <w:shd w:val="clear" w:color="000000" w:fill="E7E6E6"/>
            <w:vAlign w:val="bottom"/>
            <w:hideMark/>
          </w:tcPr>
          <w:p w14:paraId="4610264E"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0,55</w:t>
            </w:r>
          </w:p>
        </w:tc>
        <w:tc>
          <w:tcPr>
            <w:tcW w:w="1696" w:type="dxa"/>
            <w:tcBorders>
              <w:top w:val="nil"/>
              <w:left w:val="nil"/>
              <w:bottom w:val="single" w:sz="4" w:space="0" w:color="auto"/>
              <w:right w:val="single" w:sz="4" w:space="0" w:color="auto"/>
            </w:tcBorders>
            <w:shd w:val="clear" w:color="000000" w:fill="E7E6E6"/>
            <w:vAlign w:val="bottom"/>
            <w:hideMark/>
          </w:tcPr>
          <w:p w14:paraId="749A55D9"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0,54</w:t>
            </w:r>
          </w:p>
        </w:tc>
        <w:tc>
          <w:tcPr>
            <w:tcW w:w="1534" w:type="dxa"/>
            <w:tcBorders>
              <w:top w:val="nil"/>
              <w:left w:val="nil"/>
              <w:bottom w:val="single" w:sz="4" w:space="0" w:color="auto"/>
              <w:right w:val="single" w:sz="4" w:space="0" w:color="auto"/>
            </w:tcBorders>
            <w:shd w:val="clear" w:color="000000" w:fill="E7E6E6"/>
            <w:vAlign w:val="bottom"/>
            <w:hideMark/>
          </w:tcPr>
          <w:p w14:paraId="5FDC6C07"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0,09</w:t>
            </w:r>
          </w:p>
        </w:tc>
        <w:tc>
          <w:tcPr>
            <w:tcW w:w="1537" w:type="dxa"/>
            <w:tcBorders>
              <w:top w:val="nil"/>
              <w:left w:val="nil"/>
              <w:bottom w:val="single" w:sz="4" w:space="0" w:color="auto"/>
              <w:right w:val="single" w:sz="4" w:space="0" w:color="auto"/>
            </w:tcBorders>
            <w:shd w:val="clear" w:color="000000" w:fill="E7E6E6"/>
            <w:vAlign w:val="bottom"/>
            <w:hideMark/>
          </w:tcPr>
          <w:p w14:paraId="26292EAC"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0,54</w:t>
            </w:r>
          </w:p>
        </w:tc>
        <w:tc>
          <w:tcPr>
            <w:tcW w:w="1387" w:type="dxa"/>
            <w:tcBorders>
              <w:top w:val="nil"/>
              <w:left w:val="nil"/>
              <w:bottom w:val="single" w:sz="4" w:space="0" w:color="auto"/>
              <w:right w:val="single" w:sz="4" w:space="0" w:color="auto"/>
            </w:tcBorders>
            <w:shd w:val="clear" w:color="000000" w:fill="E7E6E6"/>
            <w:vAlign w:val="bottom"/>
            <w:hideMark/>
          </w:tcPr>
          <w:p w14:paraId="14F04611"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0,55</w:t>
            </w:r>
          </w:p>
        </w:tc>
        <w:tc>
          <w:tcPr>
            <w:tcW w:w="1537" w:type="dxa"/>
            <w:tcBorders>
              <w:top w:val="nil"/>
              <w:left w:val="nil"/>
              <w:bottom w:val="single" w:sz="4" w:space="0" w:color="auto"/>
              <w:right w:val="single" w:sz="4" w:space="0" w:color="auto"/>
            </w:tcBorders>
            <w:shd w:val="clear" w:color="000000" w:fill="E7E6E6"/>
            <w:vAlign w:val="bottom"/>
            <w:hideMark/>
          </w:tcPr>
          <w:p w14:paraId="60BCBBE3" w14:textId="77777777" w:rsidR="000F2D6B" w:rsidRPr="000F2D6B" w:rsidRDefault="000F2D6B" w:rsidP="000F2D6B">
            <w:pPr>
              <w:suppressAutoHyphens w:val="0"/>
              <w:autoSpaceDN/>
              <w:spacing w:after="0"/>
              <w:jc w:val="right"/>
              <w:textAlignment w:val="auto"/>
              <w:rPr>
                <w:rFonts w:eastAsia="Times New Roman" w:cs="Calibri"/>
                <w:color w:val="000000"/>
                <w:lang w:eastAsia="pl-PL"/>
              </w:rPr>
            </w:pPr>
            <w:r w:rsidRPr="000F2D6B">
              <w:rPr>
                <w:rFonts w:eastAsia="Times New Roman" w:cs="Calibri"/>
                <w:color w:val="000000"/>
                <w:lang w:eastAsia="pl-PL"/>
              </w:rPr>
              <w:t>1,93</w:t>
            </w:r>
          </w:p>
        </w:tc>
      </w:tr>
      <w:tr w:rsidR="000F2D6B" w:rsidRPr="000F2D6B" w14:paraId="37201880" w14:textId="77777777" w:rsidTr="006F5A93">
        <w:trPr>
          <w:trHeight w:val="285"/>
        </w:trPr>
        <w:tc>
          <w:tcPr>
            <w:tcW w:w="3964" w:type="dxa"/>
            <w:tcBorders>
              <w:top w:val="nil"/>
              <w:left w:val="single" w:sz="4" w:space="0" w:color="auto"/>
              <w:bottom w:val="single" w:sz="4" w:space="0" w:color="auto"/>
              <w:right w:val="nil"/>
            </w:tcBorders>
            <w:shd w:val="clear" w:color="000000" w:fill="FFFFFF"/>
            <w:vAlign w:val="center"/>
            <w:hideMark/>
          </w:tcPr>
          <w:p w14:paraId="4108C739"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Minimalny przedział wartości ujemnej</w:t>
            </w:r>
          </w:p>
        </w:tc>
        <w:tc>
          <w:tcPr>
            <w:tcW w:w="1951" w:type="dxa"/>
            <w:tcBorders>
              <w:top w:val="nil"/>
              <w:left w:val="single" w:sz="4" w:space="0" w:color="auto"/>
              <w:bottom w:val="single" w:sz="4" w:space="0" w:color="auto"/>
              <w:right w:val="single" w:sz="4" w:space="0" w:color="auto"/>
            </w:tcBorders>
            <w:shd w:val="clear" w:color="000000" w:fill="FFFFFF"/>
            <w:noWrap/>
            <w:vAlign w:val="bottom"/>
            <w:hideMark/>
          </w:tcPr>
          <w:p w14:paraId="08CF9E64"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1,32</w:t>
            </w:r>
          </w:p>
        </w:tc>
        <w:tc>
          <w:tcPr>
            <w:tcW w:w="1675" w:type="dxa"/>
            <w:tcBorders>
              <w:top w:val="nil"/>
              <w:left w:val="nil"/>
              <w:bottom w:val="single" w:sz="4" w:space="0" w:color="auto"/>
              <w:right w:val="single" w:sz="4" w:space="0" w:color="auto"/>
            </w:tcBorders>
            <w:shd w:val="clear" w:color="000000" w:fill="FFFFFF"/>
            <w:noWrap/>
            <w:vAlign w:val="bottom"/>
            <w:hideMark/>
          </w:tcPr>
          <w:p w14:paraId="1FFC1D26"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1,88</w:t>
            </w:r>
          </w:p>
        </w:tc>
        <w:tc>
          <w:tcPr>
            <w:tcW w:w="1696" w:type="dxa"/>
            <w:tcBorders>
              <w:top w:val="nil"/>
              <w:left w:val="nil"/>
              <w:bottom w:val="single" w:sz="4" w:space="0" w:color="auto"/>
              <w:right w:val="single" w:sz="4" w:space="0" w:color="auto"/>
            </w:tcBorders>
            <w:shd w:val="clear" w:color="000000" w:fill="FFFFFF"/>
            <w:noWrap/>
            <w:vAlign w:val="bottom"/>
            <w:hideMark/>
          </w:tcPr>
          <w:p w14:paraId="25F704D6"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1,82</w:t>
            </w:r>
          </w:p>
        </w:tc>
        <w:tc>
          <w:tcPr>
            <w:tcW w:w="1534" w:type="dxa"/>
            <w:tcBorders>
              <w:top w:val="nil"/>
              <w:left w:val="nil"/>
              <w:bottom w:val="single" w:sz="4" w:space="0" w:color="auto"/>
              <w:right w:val="single" w:sz="4" w:space="0" w:color="auto"/>
            </w:tcBorders>
            <w:shd w:val="clear" w:color="000000" w:fill="FFFFFF"/>
            <w:noWrap/>
            <w:vAlign w:val="bottom"/>
            <w:hideMark/>
          </w:tcPr>
          <w:p w14:paraId="10814AE7"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0,32</w:t>
            </w:r>
          </w:p>
        </w:tc>
        <w:tc>
          <w:tcPr>
            <w:tcW w:w="1537" w:type="dxa"/>
            <w:tcBorders>
              <w:top w:val="nil"/>
              <w:left w:val="nil"/>
              <w:bottom w:val="single" w:sz="4" w:space="0" w:color="auto"/>
              <w:right w:val="single" w:sz="4" w:space="0" w:color="auto"/>
            </w:tcBorders>
            <w:shd w:val="clear" w:color="000000" w:fill="FFFFFF"/>
            <w:noWrap/>
            <w:vAlign w:val="bottom"/>
            <w:hideMark/>
          </w:tcPr>
          <w:p w14:paraId="4B234C7F"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1,85</w:t>
            </w:r>
          </w:p>
        </w:tc>
        <w:tc>
          <w:tcPr>
            <w:tcW w:w="1387" w:type="dxa"/>
            <w:tcBorders>
              <w:top w:val="nil"/>
              <w:left w:val="nil"/>
              <w:bottom w:val="single" w:sz="4" w:space="0" w:color="auto"/>
              <w:right w:val="single" w:sz="4" w:space="0" w:color="auto"/>
            </w:tcBorders>
            <w:shd w:val="clear" w:color="000000" w:fill="FFFFFF"/>
            <w:noWrap/>
            <w:vAlign w:val="bottom"/>
            <w:hideMark/>
          </w:tcPr>
          <w:p w14:paraId="243A700B"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1,88</w:t>
            </w:r>
          </w:p>
        </w:tc>
        <w:tc>
          <w:tcPr>
            <w:tcW w:w="1537" w:type="dxa"/>
            <w:tcBorders>
              <w:top w:val="nil"/>
              <w:left w:val="nil"/>
              <w:bottom w:val="single" w:sz="4" w:space="0" w:color="auto"/>
              <w:right w:val="single" w:sz="4" w:space="0" w:color="auto"/>
            </w:tcBorders>
            <w:shd w:val="clear" w:color="000000" w:fill="FFFFFF"/>
            <w:noWrap/>
            <w:vAlign w:val="bottom"/>
            <w:hideMark/>
          </w:tcPr>
          <w:p w14:paraId="70E9098B"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11,57</w:t>
            </w:r>
          </w:p>
        </w:tc>
      </w:tr>
      <w:tr w:rsidR="000F2D6B" w:rsidRPr="000F2D6B" w14:paraId="41EA9779" w14:textId="77777777" w:rsidTr="006F5A93">
        <w:trPr>
          <w:trHeight w:val="285"/>
        </w:trPr>
        <w:tc>
          <w:tcPr>
            <w:tcW w:w="3964" w:type="dxa"/>
            <w:tcBorders>
              <w:top w:val="nil"/>
              <w:left w:val="single" w:sz="4" w:space="0" w:color="auto"/>
              <w:bottom w:val="single" w:sz="4" w:space="0" w:color="auto"/>
              <w:right w:val="nil"/>
            </w:tcBorders>
            <w:shd w:val="clear" w:color="000000" w:fill="FFFFFF"/>
            <w:vAlign w:val="bottom"/>
            <w:hideMark/>
          </w:tcPr>
          <w:p w14:paraId="6558BBD7"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Maksymalny przedział wartości ujemnej</w:t>
            </w:r>
          </w:p>
        </w:tc>
        <w:tc>
          <w:tcPr>
            <w:tcW w:w="1951" w:type="dxa"/>
            <w:tcBorders>
              <w:top w:val="nil"/>
              <w:left w:val="single" w:sz="4" w:space="0" w:color="auto"/>
              <w:bottom w:val="single" w:sz="4" w:space="0" w:color="auto"/>
              <w:right w:val="single" w:sz="4" w:space="0" w:color="auto"/>
            </w:tcBorders>
            <w:shd w:val="clear" w:color="000000" w:fill="FFFFFF"/>
            <w:noWrap/>
            <w:vAlign w:val="bottom"/>
            <w:hideMark/>
          </w:tcPr>
          <w:p w14:paraId="182B230A"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1,17</w:t>
            </w:r>
          </w:p>
        </w:tc>
        <w:tc>
          <w:tcPr>
            <w:tcW w:w="1675" w:type="dxa"/>
            <w:tcBorders>
              <w:top w:val="nil"/>
              <w:left w:val="nil"/>
              <w:bottom w:val="single" w:sz="4" w:space="0" w:color="auto"/>
              <w:right w:val="single" w:sz="4" w:space="0" w:color="auto"/>
            </w:tcBorders>
            <w:shd w:val="clear" w:color="000000" w:fill="FFFFFF"/>
            <w:noWrap/>
            <w:vAlign w:val="bottom"/>
            <w:hideMark/>
          </w:tcPr>
          <w:p w14:paraId="49EBFABE"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1,66</w:t>
            </w:r>
          </w:p>
        </w:tc>
        <w:tc>
          <w:tcPr>
            <w:tcW w:w="1696" w:type="dxa"/>
            <w:tcBorders>
              <w:top w:val="nil"/>
              <w:left w:val="nil"/>
              <w:bottom w:val="single" w:sz="4" w:space="0" w:color="auto"/>
              <w:right w:val="single" w:sz="4" w:space="0" w:color="auto"/>
            </w:tcBorders>
            <w:shd w:val="clear" w:color="000000" w:fill="FFFFFF"/>
            <w:noWrap/>
            <w:vAlign w:val="bottom"/>
            <w:hideMark/>
          </w:tcPr>
          <w:p w14:paraId="7CFF2921"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1,61</w:t>
            </w:r>
          </w:p>
        </w:tc>
        <w:tc>
          <w:tcPr>
            <w:tcW w:w="1534" w:type="dxa"/>
            <w:tcBorders>
              <w:top w:val="nil"/>
              <w:left w:val="nil"/>
              <w:bottom w:val="single" w:sz="4" w:space="0" w:color="auto"/>
              <w:right w:val="single" w:sz="4" w:space="0" w:color="auto"/>
            </w:tcBorders>
            <w:shd w:val="clear" w:color="000000" w:fill="FFFFFF"/>
            <w:noWrap/>
            <w:vAlign w:val="bottom"/>
            <w:hideMark/>
          </w:tcPr>
          <w:p w14:paraId="63D9DC95"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0,28</w:t>
            </w:r>
          </w:p>
        </w:tc>
        <w:tc>
          <w:tcPr>
            <w:tcW w:w="1537" w:type="dxa"/>
            <w:tcBorders>
              <w:top w:val="nil"/>
              <w:left w:val="nil"/>
              <w:bottom w:val="single" w:sz="4" w:space="0" w:color="auto"/>
              <w:right w:val="single" w:sz="4" w:space="0" w:color="auto"/>
            </w:tcBorders>
            <w:shd w:val="clear" w:color="000000" w:fill="FFFFFF"/>
            <w:noWrap/>
            <w:vAlign w:val="bottom"/>
            <w:hideMark/>
          </w:tcPr>
          <w:p w14:paraId="37F03B3D"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1,63</w:t>
            </w:r>
          </w:p>
        </w:tc>
        <w:tc>
          <w:tcPr>
            <w:tcW w:w="1387" w:type="dxa"/>
            <w:tcBorders>
              <w:top w:val="nil"/>
              <w:left w:val="nil"/>
              <w:bottom w:val="single" w:sz="4" w:space="0" w:color="auto"/>
              <w:right w:val="single" w:sz="4" w:space="0" w:color="auto"/>
            </w:tcBorders>
            <w:shd w:val="clear" w:color="000000" w:fill="FFFFFF"/>
            <w:noWrap/>
            <w:vAlign w:val="bottom"/>
            <w:hideMark/>
          </w:tcPr>
          <w:p w14:paraId="161D5759"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1,66</w:t>
            </w:r>
          </w:p>
        </w:tc>
        <w:tc>
          <w:tcPr>
            <w:tcW w:w="1537" w:type="dxa"/>
            <w:tcBorders>
              <w:top w:val="nil"/>
              <w:left w:val="nil"/>
              <w:bottom w:val="single" w:sz="4" w:space="0" w:color="auto"/>
              <w:right w:val="single" w:sz="4" w:space="0" w:color="auto"/>
            </w:tcBorders>
            <w:shd w:val="clear" w:color="000000" w:fill="FFFFFF"/>
            <w:noWrap/>
            <w:vAlign w:val="bottom"/>
            <w:hideMark/>
          </w:tcPr>
          <w:p w14:paraId="7EACB00B"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10,93</w:t>
            </w:r>
          </w:p>
        </w:tc>
      </w:tr>
      <w:tr w:rsidR="000F2D6B" w:rsidRPr="000F2D6B" w14:paraId="04A0502A" w14:textId="77777777" w:rsidTr="006F5A93">
        <w:trPr>
          <w:trHeight w:val="285"/>
        </w:trPr>
        <w:tc>
          <w:tcPr>
            <w:tcW w:w="3964" w:type="dxa"/>
            <w:tcBorders>
              <w:top w:val="nil"/>
              <w:left w:val="single" w:sz="4" w:space="0" w:color="auto"/>
              <w:bottom w:val="single" w:sz="4" w:space="0" w:color="auto"/>
              <w:right w:val="nil"/>
            </w:tcBorders>
            <w:shd w:val="clear" w:color="000000" w:fill="FFFFFF"/>
            <w:vAlign w:val="bottom"/>
            <w:hideMark/>
          </w:tcPr>
          <w:p w14:paraId="5FC1D200"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Minimalny przedział wartości dodatniej</w:t>
            </w:r>
          </w:p>
        </w:tc>
        <w:tc>
          <w:tcPr>
            <w:tcW w:w="1951" w:type="dxa"/>
            <w:tcBorders>
              <w:top w:val="nil"/>
              <w:left w:val="single" w:sz="4" w:space="0" w:color="auto"/>
              <w:bottom w:val="single" w:sz="4" w:space="0" w:color="auto"/>
              <w:right w:val="single" w:sz="4" w:space="0" w:color="auto"/>
            </w:tcBorders>
            <w:shd w:val="clear" w:color="000000" w:fill="FFFFFF"/>
            <w:noWrap/>
            <w:vAlign w:val="bottom"/>
            <w:hideMark/>
          </w:tcPr>
          <w:p w14:paraId="29A22A0F"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1,79</w:t>
            </w:r>
          </w:p>
        </w:tc>
        <w:tc>
          <w:tcPr>
            <w:tcW w:w="1675" w:type="dxa"/>
            <w:tcBorders>
              <w:top w:val="nil"/>
              <w:left w:val="nil"/>
              <w:bottom w:val="single" w:sz="4" w:space="0" w:color="auto"/>
              <w:right w:val="single" w:sz="4" w:space="0" w:color="auto"/>
            </w:tcBorders>
            <w:shd w:val="clear" w:color="000000" w:fill="FFFFFF"/>
            <w:noWrap/>
            <w:vAlign w:val="bottom"/>
            <w:hideMark/>
          </w:tcPr>
          <w:p w14:paraId="4D34560B"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2,55</w:t>
            </w:r>
          </w:p>
        </w:tc>
        <w:tc>
          <w:tcPr>
            <w:tcW w:w="1696" w:type="dxa"/>
            <w:tcBorders>
              <w:top w:val="nil"/>
              <w:left w:val="nil"/>
              <w:bottom w:val="single" w:sz="4" w:space="0" w:color="auto"/>
              <w:right w:val="single" w:sz="4" w:space="0" w:color="auto"/>
            </w:tcBorders>
            <w:shd w:val="clear" w:color="000000" w:fill="FFFFFF"/>
            <w:noWrap/>
            <w:vAlign w:val="bottom"/>
            <w:hideMark/>
          </w:tcPr>
          <w:p w14:paraId="6BD5C09B"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2,46</w:t>
            </w:r>
          </w:p>
        </w:tc>
        <w:tc>
          <w:tcPr>
            <w:tcW w:w="1534" w:type="dxa"/>
            <w:tcBorders>
              <w:top w:val="nil"/>
              <w:left w:val="nil"/>
              <w:bottom w:val="single" w:sz="4" w:space="0" w:color="auto"/>
              <w:right w:val="single" w:sz="4" w:space="0" w:color="auto"/>
            </w:tcBorders>
            <w:shd w:val="clear" w:color="000000" w:fill="FFFFFF"/>
            <w:noWrap/>
            <w:vAlign w:val="bottom"/>
            <w:hideMark/>
          </w:tcPr>
          <w:p w14:paraId="024AE7A2"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0,43</w:t>
            </w:r>
          </w:p>
        </w:tc>
        <w:tc>
          <w:tcPr>
            <w:tcW w:w="1537" w:type="dxa"/>
            <w:tcBorders>
              <w:top w:val="nil"/>
              <w:left w:val="nil"/>
              <w:bottom w:val="single" w:sz="4" w:space="0" w:color="auto"/>
              <w:right w:val="single" w:sz="4" w:space="0" w:color="auto"/>
            </w:tcBorders>
            <w:shd w:val="clear" w:color="000000" w:fill="FFFFFF"/>
            <w:noWrap/>
            <w:vAlign w:val="bottom"/>
            <w:hideMark/>
          </w:tcPr>
          <w:p w14:paraId="0EA4E5EE"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2,51</w:t>
            </w:r>
          </w:p>
        </w:tc>
        <w:tc>
          <w:tcPr>
            <w:tcW w:w="1387" w:type="dxa"/>
            <w:tcBorders>
              <w:top w:val="nil"/>
              <w:left w:val="nil"/>
              <w:bottom w:val="single" w:sz="4" w:space="0" w:color="auto"/>
              <w:right w:val="single" w:sz="4" w:space="0" w:color="auto"/>
            </w:tcBorders>
            <w:shd w:val="clear" w:color="000000" w:fill="FFFFFF"/>
            <w:noWrap/>
            <w:vAlign w:val="bottom"/>
            <w:hideMark/>
          </w:tcPr>
          <w:p w14:paraId="67159827"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2,55</w:t>
            </w:r>
          </w:p>
        </w:tc>
        <w:tc>
          <w:tcPr>
            <w:tcW w:w="1537" w:type="dxa"/>
            <w:tcBorders>
              <w:top w:val="nil"/>
              <w:left w:val="nil"/>
              <w:bottom w:val="single" w:sz="4" w:space="0" w:color="auto"/>
              <w:right w:val="single" w:sz="4" w:space="0" w:color="auto"/>
            </w:tcBorders>
            <w:shd w:val="clear" w:color="000000" w:fill="FFFFFF"/>
            <w:noWrap/>
            <w:vAlign w:val="bottom"/>
            <w:hideMark/>
          </w:tcPr>
          <w:p w14:paraId="427B05F5"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14,14</w:t>
            </w:r>
          </w:p>
        </w:tc>
      </w:tr>
      <w:tr w:rsidR="000F2D6B" w:rsidRPr="000F2D6B" w14:paraId="50D19243" w14:textId="77777777" w:rsidTr="006F5A93">
        <w:trPr>
          <w:trHeight w:val="285"/>
        </w:trPr>
        <w:tc>
          <w:tcPr>
            <w:tcW w:w="3964" w:type="dxa"/>
            <w:tcBorders>
              <w:top w:val="nil"/>
              <w:left w:val="single" w:sz="4" w:space="0" w:color="auto"/>
              <w:bottom w:val="single" w:sz="4" w:space="0" w:color="auto"/>
              <w:right w:val="nil"/>
            </w:tcBorders>
            <w:shd w:val="clear" w:color="000000" w:fill="FFFFFF"/>
            <w:vAlign w:val="bottom"/>
            <w:hideMark/>
          </w:tcPr>
          <w:p w14:paraId="15300BAA"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Maksymalny przedział wartości dodatniej</w:t>
            </w:r>
          </w:p>
        </w:tc>
        <w:tc>
          <w:tcPr>
            <w:tcW w:w="1951" w:type="dxa"/>
            <w:tcBorders>
              <w:top w:val="nil"/>
              <w:left w:val="single" w:sz="4" w:space="0" w:color="auto"/>
              <w:bottom w:val="single" w:sz="4" w:space="0" w:color="auto"/>
              <w:right w:val="single" w:sz="4" w:space="0" w:color="auto"/>
            </w:tcBorders>
            <w:shd w:val="clear" w:color="000000" w:fill="FFFFFF"/>
            <w:noWrap/>
            <w:vAlign w:val="bottom"/>
            <w:hideMark/>
          </w:tcPr>
          <w:p w14:paraId="6F3C3945"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1,94</w:t>
            </w:r>
          </w:p>
        </w:tc>
        <w:tc>
          <w:tcPr>
            <w:tcW w:w="1675" w:type="dxa"/>
            <w:tcBorders>
              <w:top w:val="nil"/>
              <w:left w:val="nil"/>
              <w:bottom w:val="single" w:sz="4" w:space="0" w:color="auto"/>
              <w:right w:val="single" w:sz="4" w:space="0" w:color="auto"/>
            </w:tcBorders>
            <w:shd w:val="clear" w:color="000000" w:fill="FFFFFF"/>
            <w:noWrap/>
            <w:vAlign w:val="bottom"/>
            <w:hideMark/>
          </w:tcPr>
          <w:p w14:paraId="746DF4F7"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2,77</w:t>
            </w:r>
          </w:p>
        </w:tc>
        <w:tc>
          <w:tcPr>
            <w:tcW w:w="1696" w:type="dxa"/>
            <w:tcBorders>
              <w:top w:val="nil"/>
              <w:left w:val="nil"/>
              <w:bottom w:val="single" w:sz="4" w:space="0" w:color="auto"/>
              <w:right w:val="single" w:sz="4" w:space="0" w:color="auto"/>
            </w:tcBorders>
            <w:shd w:val="clear" w:color="000000" w:fill="FFFFFF"/>
            <w:noWrap/>
            <w:vAlign w:val="bottom"/>
            <w:hideMark/>
          </w:tcPr>
          <w:p w14:paraId="395B8CF6"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2,68</w:t>
            </w:r>
          </w:p>
        </w:tc>
        <w:tc>
          <w:tcPr>
            <w:tcW w:w="1534" w:type="dxa"/>
            <w:tcBorders>
              <w:top w:val="nil"/>
              <w:left w:val="nil"/>
              <w:bottom w:val="single" w:sz="4" w:space="0" w:color="auto"/>
              <w:right w:val="single" w:sz="4" w:space="0" w:color="auto"/>
            </w:tcBorders>
            <w:shd w:val="clear" w:color="000000" w:fill="FFFFFF"/>
            <w:noWrap/>
            <w:vAlign w:val="bottom"/>
            <w:hideMark/>
          </w:tcPr>
          <w:p w14:paraId="083B7C22"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0,47</w:t>
            </w:r>
          </w:p>
        </w:tc>
        <w:tc>
          <w:tcPr>
            <w:tcW w:w="1537" w:type="dxa"/>
            <w:tcBorders>
              <w:top w:val="nil"/>
              <w:left w:val="nil"/>
              <w:bottom w:val="single" w:sz="4" w:space="0" w:color="auto"/>
              <w:right w:val="single" w:sz="4" w:space="0" w:color="auto"/>
            </w:tcBorders>
            <w:shd w:val="clear" w:color="000000" w:fill="FFFFFF"/>
            <w:noWrap/>
            <w:vAlign w:val="bottom"/>
            <w:hideMark/>
          </w:tcPr>
          <w:p w14:paraId="6D15D1C1"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2,72</w:t>
            </w:r>
          </w:p>
        </w:tc>
        <w:tc>
          <w:tcPr>
            <w:tcW w:w="1387" w:type="dxa"/>
            <w:tcBorders>
              <w:top w:val="nil"/>
              <w:left w:val="nil"/>
              <w:bottom w:val="single" w:sz="4" w:space="0" w:color="auto"/>
              <w:right w:val="single" w:sz="4" w:space="0" w:color="auto"/>
            </w:tcBorders>
            <w:shd w:val="clear" w:color="000000" w:fill="FFFFFF"/>
            <w:noWrap/>
            <w:vAlign w:val="bottom"/>
            <w:hideMark/>
          </w:tcPr>
          <w:p w14:paraId="791CDC29"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2,77</w:t>
            </w:r>
          </w:p>
        </w:tc>
        <w:tc>
          <w:tcPr>
            <w:tcW w:w="1537" w:type="dxa"/>
            <w:tcBorders>
              <w:top w:val="nil"/>
              <w:left w:val="nil"/>
              <w:bottom w:val="single" w:sz="4" w:space="0" w:color="auto"/>
              <w:right w:val="single" w:sz="4" w:space="0" w:color="auto"/>
            </w:tcBorders>
            <w:shd w:val="clear" w:color="000000" w:fill="FFFFFF"/>
            <w:noWrap/>
            <w:vAlign w:val="bottom"/>
            <w:hideMark/>
          </w:tcPr>
          <w:p w14:paraId="63370542" w14:textId="77777777" w:rsidR="000F2D6B" w:rsidRPr="000F2D6B" w:rsidRDefault="000F2D6B" w:rsidP="000F2D6B">
            <w:pPr>
              <w:suppressAutoHyphens w:val="0"/>
              <w:autoSpaceDN/>
              <w:spacing w:after="0"/>
              <w:jc w:val="right"/>
              <w:textAlignment w:val="auto"/>
              <w:rPr>
                <w:rFonts w:eastAsia="Times New Roman" w:cs="Calibri"/>
                <w:lang w:eastAsia="pl-PL"/>
              </w:rPr>
            </w:pPr>
            <w:r w:rsidRPr="000F2D6B">
              <w:rPr>
                <w:rFonts w:eastAsia="Times New Roman" w:cs="Calibri"/>
                <w:lang w:eastAsia="pl-PL"/>
              </w:rPr>
              <w:t>14,79</w:t>
            </w:r>
          </w:p>
        </w:tc>
      </w:tr>
      <w:tr w:rsidR="000F2D6B" w:rsidRPr="000F2D6B" w14:paraId="62DC0CD0" w14:textId="77777777" w:rsidTr="006F5A93">
        <w:trPr>
          <w:trHeight w:val="285"/>
        </w:trPr>
        <w:tc>
          <w:tcPr>
            <w:tcW w:w="3964" w:type="dxa"/>
            <w:tcBorders>
              <w:top w:val="nil"/>
              <w:left w:val="single" w:sz="4" w:space="0" w:color="auto"/>
              <w:bottom w:val="single" w:sz="4" w:space="0" w:color="auto"/>
              <w:right w:val="nil"/>
            </w:tcBorders>
            <w:shd w:val="clear" w:color="000000" w:fill="C6E0B4"/>
            <w:vAlign w:val="center"/>
            <w:hideMark/>
          </w:tcPr>
          <w:p w14:paraId="12E4F3A7"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xml:space="preserve">Poniżej średniej </w:t>
            </w:r>
          </w:p>
        </w:tc>
        <w:tc>
          <w:tcPr>
            <w:tcW w:w="1951" w:type="dxa"/>
            <w:tcBorders>
              <w:top w:val="nil"/>
              <w:left w:val="single" w:sz="4" w:space="0" w:color="auto"/>
              <w:bottom w:val="single" w:sz="4" w:space="0" w:color="auto"/>
              <w:right w:val="single" w:sz="4" w:space="0" w:color="auto"/>
            </w:tcBorders>
            <w:shd w:val="clear" w:color="000000" w:fill="C6E0B4"/>
            <w:vAlign w:val="bottom"/>
            <w:hideMark/>
          </w:tcPr>
          <w:p w14:paraId="746402F0"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675" w:type="dxa"/>
            <w:tcBorders>
              <w:top w:val="single" w:sz="4" w:space="0" w:color="auto"/>
              <w:left w:val="nil"/>
              <w:bottom w:val="single" w:sz="4" w:space="0" w:color="auto"/>
              <w:right w:val="single" w:sz="4" w:space="0" w:color="auto"/>
            </w:tcBorders>
            <w:shd w:val="clear" w:color="000000" w:fill="C6E0B4"/>
            <w:vAlign w:val="bottom"/>
            <w:hideMark/>
          </w:tcPr>
          <w:p w14:paraId="3BD1B703"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696" w:type="dxa"/>
            <w:tcBorders>
              <w:top w:val="single" w:sz="4" w:space="0" w:color="auto"/>
              <w:left w:val="nil"/>
              <w:bottom w:val="single" w:sz="4" w:space="0" w:color="auto"/>
              <w:right w:val="single" w:sz="4" w:space="0" w:color="auto"/>
            </w:tcBorders>
            <w:shd w:val="clear" w:color="000000" w:fill="C6E0B4"/>
            <w:vAlign w:val="bottom"/>
            <w:hideMark/>
          </w:tcPr>
          <w:p w14:paraId="7766B173"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534" w:type="dxa"/>
            <w:tcBorders>
              <w:top w:val="single" w:sz="4" w:space="0" w:color="auto"/>
              <w:left w:val="nil"/>
              <w:bottom w:val="single" w:sz="4" w:space="0" w:color="auto"/>
              <w:right w:val="single" w:sz="4" w:space="0" w:color="auto"/>
            </w:tcBorders>
            <w:shd w:val="clear" w:color="000000" w:fill="C6E0B4"/>
            <w:vAlign w:val="bottom"/>
            <w:hideMark/>
          </w:tcPr>
          <w:p w14:paraId="39B26DEE"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537" w:type="dxa"/>
            <w:tcBorders>
              <w:top w:val="single" w:sz="4" w:space="0" w:color="auto"/>
              <w:left w:val="nil"/>
              <w:bottom w:val="single" w:sz="4" w:space="0" w:color="auto"/>
              <w:right w:val="single" w:sz="4" w:space="0" w:color="auto"/>
            </w:tcBorders>
            <w:shd w:val="clear" w:color="000000" w:fill="C6E0B4"/>
            <w:vAlign w:val="bottom"/>
            <w:hideMark/>
          </w:tcPr>
          <w:p w14:paraId="0D3025B2"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387" w:type="dxa"/>
            <w:tcBorders>
              <w:top w:val="single" w:sz="4" w:space="0" w:color="auto"/>
              <w:left w:val="nil"/>
              <w:bottom w:val="single" w:sz="4" w:space="0" w:color="auto"/>
              <w:right w:val="single" w:sz="4" w:space="0" w:color="auto"/>
            </w:tcBorders>
            <w:shd w:val="clear" w:color="000000" w:fill="C6E0B4"/>
            <w:vAlign w:val="bottom"/>
            <w:hideMark/>
          </w:tcPr>
          <w:p w14:paraId="0B22D62A"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537" w:type="dxa"/>
            <w:tcBorders>
              <w:top w:val="single" w:sz="4" w:space="0" w:color="auto"/>
              <w:left w:val="nil"/>
              <w:bottom w:val="single" w:sz="4" w:space="0" w:color="auto"/>
              <w:right w:val="single" w:sz="4" w:space="0" w:color="auto"/>
            </w:tcBorders>
            <w:shd w:val="clear" w:color="000000" w:fill="C6E0B4"/>
            <w:vAlign w:val="bottom"/>
            <w:hideMark/>
          </w:tcPr>
          <w:p w14:paraId="527EBB16"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r>
      <w:tr w:rsidR="000F2D6B" w:rsidRPr="000F2D6B" w14:paraId="71885597" w14:textId="77777777" w:rsidTr="006F5A93">
        <w:trPr>
          <w:trHeight w:val="285"/>
        </w:trPr>
        <w:tc>
          <w:tcPr>
            <w:tcW w:w="3964" w:type="dxa"/>
            <w:tcBorders>
              <w:top w:val="nil"/>
              <w:left w:val="single" w:sz="4" w:space="0" w:color="auto"/>
              <w:bottom w:val="single" w:sz="4" w:space="0" w:color="auto"/>
              <w:right w:val="nil"/>
            </w:tcBorders>
            <w:shd w:val="clear" w:color="000000" w:fill="FFE699"/>
            <w:vAlign w:val="center"/>
            <w:hideMark/>
          </w:tcPr>
          <w:p w14:paraId="2EE46EE4"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Średnia</w:t>
            </w:r>
          </w:p>
        </w:tc>
        <w:tc>
          <w:tcPr>
            <w:tcW w:w="1951" w:type="dxa"/>
            <w:tcBorders>
              <w:top w:val="nil"/>
              <w:left w:val="single" w:sz="4" w:space="0" w:color="auto"/>
              <w:bottom w:val="single" w:sz="4" w:space="0" w:color="auto"/>
              <w:right w:val="single" w:sz="4" w:space="0" w:color="auto"/>
            </w:tcBorders>
            <w:shd w:val="clear" w:color="000000" w:fill="FFE699"/>
            <w:vAlign w:val="bottom"/>
            <w:hideMark/>
          </w:tcPr>
          <w:p w14:paraId="0C7EE6D1"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675" w:type="dxa"/>
            <w:tcBorders>
              <w:top w:val="nil"/>
              <w:left w:val="nil"/>
              <w:bottom w:val="single" w:sz="4" w:space="0" w:color="auto"/>
              <w:right w:val="single" w:sz="4" w:space="0" w:color="auto"/>
            </w:tcBorders>
            <w:shd w:val="clear" w:color="000000" w:fill="FFE699"/>
            <w:vAlign w:val="bottom"/>
            <w:hideMark/>
          </w:tcPr>
          <w:p w14:paraId="7B698610"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696" w:type="dxa"/>
            <w:tcBorders>
              <w:top w:val="nil"/>
              <w:left w:val="nil"/>
              <w:bottom w:val="single" w:sz="4" w:space="0" w:color="auto"/>
              <w:right w:val="single" w:sz="4" w:space="0" w:color="auto"/>
            </w:tcBorders>
            <w:shd w:val="clear" w:color="000000" w:fill="FFE699"/>
            <w:vAlign w:val="bottom"/>
            <w:hideMark/>
          </w:tcPr>
          <w:p w14:paraId="1A48FF1D"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534" w:type="dxa"/>
            <w:tcBorders>
              <w:top w:val="nil"/>
              <w:left w:val="nil"/>
              <w:bottom w:val="single" w:sz="4" w:space="0" w:color="auto"/>
              <w:right w:val="single" w:sz="4" w:space="0" w:color="auto"/>
            </w:tcBorders>
            <w:shd w:val="clear" w:color="000000" w:fill="FFE699"/>
            <w:vAlign w:val="bottom"/>
            <w:hideMark/>
          </w:tcPr>
          <w:p w14:paraId="7D6FB334"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537" w:type="dxa"/>
            <w:tcBorders>
              <w:top w:val="nil"/>
              <w:left w:val="nil"/>
              <w:bottom w:val="single" w:sz="4" w:space="0" w:color="auto"/>
              <w:right w:val="single" w:sz="4" w:space="0" w:color="auto"/>
            </w:tcBorders>
            <w:shd w:val="clear" w:color="000000" w:fill="FFE699"/>
            <w:vAlign w:val="bottom"/>
            <w:hideMark/>
          </w:tcPr>
          <w:p w14:paraId="413AD085"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387" w:type="dxa"/>
            <w:tcBorders>
              <w:top w:val="nil"/>
              <w:left w:val="nil"/>
              <w:bottom w:val="single" w:sz="4" w:space="0" w:color="auto"/>
              <w:right w:val="single" w:sz="4" w:space="0" w:color="auto"/>
            </w:tcBorders>
            <w:shd w:val="clear" w:color="000000" w:fill="FFE699"/>
            <w:vAlign w:val="bottom"/>
            <w:hideMark/>
          </w:tcPr>
          <w:p w14:paraId="085E5743"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537" w:type="dxa"/>
            <w:tcBorders>
              <w:top w:val="nil"/>
              <w:left w:val="nil"/>
              <w:bottom w:val="single" w:sz="4" w:space="0" w:color="auto"/>
              <w:right w:val="single" w:sz="4" w:space="0" w:color="auto"/>
            </w:tcBorders>
            <w:shd w:val="clear" w:color="000000" w:fill="FFE699"/>
            <w:vAlign w:val="bottom"/>
            <w:hideMark/>
          </w:tcPr>
          <w:p w14:paraId="264649C2"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r>
      <w:tr w:rsidR="000F2D6B" w:rsidRPr="000F2D6B" w14:paraId="425FD624" w14:textId="77777777" w:rsidTr="006F5A93">
        <w:trPr>
          <w:trHeight w:val="285"/>
        </w:trPr>
        <w:tc>
          <w:tcPr>
            <w:tcW w:w="3964" w:type="dxa"/>
            <w:tcBorders>
              <w:top w:val="nil"/>
              <w:left w:val="single" w:sz="4" w:space="0" w:color="auto"/>
              <w:bottom w:val="single" w:sz="4" w:space="0" w:color="auto"/>
              <w:right w:val="nil"/>
            </w:tcBorders>
            <w:shd w:val="clear" w:color="000000" w:fill="F8CBAD"/>
            <w:vAlign w:val="center"/>
            <w:hideMark/>
          </w:tcPr>
          <w:p w14:paraId="164871F3"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xml:space="preserve">Powyżej średniej </w:t>
            </w:r>
          </w:p>
        </w:tc>
        <w:tc>
          <w:tcPr>
            <w:tcW w:w="1951" w:type="dxa"/>
            <w:tcBorders>
              <w:top w:val="nil"/>
              <w:left w:val="single" w:sz="4" w:space="0" w:color="auto"/>
              <w:bottom w:val="single" w:sz="4" w:space="0" w:color="auto"/>
              <w:right w:val="single" w:sz="4" w:space="0" w:color="auto"/>
            </w:tcBorders>
            <w:shd w:val="clear" w:color="000000" w:fill="F8CBAD"/>
            <w:vAlign w:val="bottom"/>
            <w:hideMark/>
          </w:tcPr>
          <w:p w14:paraId="744846EC"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675" w:type="dxa"/>
            <w:tcBorders>
              <w:top w:val="nil"/>
              <w:left w:val="nil"/>
              <w:bottom w:val="single" w:sz="4" w:space="0" w:color="auto"/>
              <w:right w:val="single" w:sz="4" w:space="0" w:color="auto"/>
            </w:tcBorders>
            <w:shd w:val="clear" w:color="000000" w:fill="F8CBAD"/>
            <w:vAlign w:val="bottom"/>
            <w:hideMark/>
          </w:tcPr>
          <w:p w14:paraId="13D5CF29"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696" w:type="dxa"/>
            <w:tcBorders>
              <w:top w:val="nil"/>
              <w:left w:val="nil"/>
              <w:bottom w:val="single" w:sz="4" w:space="0" w:color="auto"/>
              <w:right w:val="single" w:sz="4" w:space="0" w:color="auto"/>
            </w:tcBorders>
            <w:shd w:val="clear" w:color="000000" w:fill="F8CBAD"/>
            <w:vAlign w:val="bottom"/>
            <w:hideMark/>
          </w:tcPr>
          <w:p w14:paraId="0C792274"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534" w:type="dxa"/>
            <w:tcBorders>
              <w:top w:val="nil"/>
              <w:left w:val="nil"/>
              <w:bottom w:val="single" w:sz="4" w:space="0" w:color="auto"/>
              <w:right w:val="single" w:sz="4" w:space="0" w:color="auto"/>
            </w:tcBorders>
            <w:shd w:val="clear" w:color="000000" w:fill="F8CBAD"/>
            <w:vAlign w:val="bottom"/>
            <w:hideMark/>
          </w:tcPr>
          <w:p w14:paraId="1E2B655B"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537" w:type="dxa"/>
            <w:tcBorders>
              <w:top w:val="nil"/>
              <w:left w:val="nil"/>
              <w:bottom w:val="single" w:sz="4" w:space="0" w:color="auto"/>
              <w:right w:val="single" w:sz="4" w:space="0" w:color="auto"/>
            </w:tcBorders>
            <w:shd w:val="clear" w:color="000000" w:fill="F8CBAD"/>
            <w:vAlign w:val="bottom"/>
            <w:hideMark/>
          </w:tcPr>
          <w:p w14:paraId="01DC03CB"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387" w:type="dxa"/>
            <w:tcBorders>
              <w:top w:val="nil"/>
              <w:left w:val="nil"/>
              <w:bottom w:val="single" w:sz="4" w:space="0" w:color="auto"/>
              <w:right w:val="single" w:sz="4" w:space="0" w:color="auto"/>
            </w:tcBorders>
            <w:shd w:val="clear" w:color="000000" w:fill="F8CBAD"/>
            <w:vAlign w:val="bottom"/>
            <w:hideMark/>
          </w:tcPr>
          <w:p w14:paraId="708A2AE8"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c>
          <w:tcPr>
            <w:tcW w:w="1537" w:type="dxa"/>
            <w:tcBorders>
              <w:top w:val="nil"/>
              <w:left w:val="nil"/>
              <w:bottom w:val="single" w:sz="4" w:space="0" w:color="auto"/>
              <w:right w:val="single" w:sz="4" w:space="0" w:color="auto"/>
            </w:tcBorders>
            <w:shd w:val="clear" w:color="000000" w:fill="F8CBAD"/>
            <w:vAlign w:val="bottom"/>
            <w:hideMark/>
          </w:tcPr>
          <w:p w14:paraId="7F9CEDE8" w14:textId="77777777" w:rsidR="000F2D6B" w:rsidRPr="000F2D6B" w:rsidRDefault="000F2D6B" w:rsidP="000F2D6B">
            <w:pPr>
              <w:suppressAutoHyphens w:val="0"/>
              <w:autoSpaceDN/>
              <w:spacing w:after="0"/>
              <w:textAlignment w:val="auto"/>
              <w:rPr>
                <w:rFonts w:eastAsia="Times New Roman" w:cs="Calibri"/>
                <w:color w:val="000000"/>
                <w:lang w:eastAsia="pl-PL"/>
              </w:rPr>
            </w:pPr>
            <w:r w:rsidRPr="000F2D6B">
              <w:rPr>
                <w:rFonts w:eastAsia="Times New Roman" w:cs="Calibri"/>
                <w:color w:val="000000"/>
                <w:lang w:eastAsia="pl-PL"/>
              </w:rPr>
              <w:t> </w:t>
            </w:r>
          </w:p>
        </w:tc>
      </w:tr>
    </w:tbl>
    <w:p w14:paraId="0A072B1E" w14:textId="77777777" w:rsidR="00895A36" w:rsidRDefault="00895A36" w:rsidP="00895A36">
      <w:pPr>
        <w:spacing w:before="120"/>
      </w:pPr>
      <w:r>
        <w:t xml:space="preserve">Źródło: Opracowanie własne </w:t>
      </w:r>
    </w:p>
    <w:p w14:paraId="29E8ACAD" w14:textId="120C763A" w:rsidR="00312FAA" w:rsidRDefault="00312FAA" w:rsidP="00895A36">
      <w:pPr>
        <w:spacing w:before="120"/>
        <w:sectPr w:rsidR="00312FAA" w:rsidSect="00D50A98">
          <w:pgSz w:w="16838" w:h="11906" w:orient="landscape"/>
          <w:pgMar w:top="1021" w:right="1134" w:bottom="1021" w:left="1134" w:header="709" w:footer="709" w:gutter="0"/>
          <w:cols w:space="708"/>
        </w:sectPr>
      </w:pPr>
    </w:p>
    <w:p w14:paraId="1FF512F6" w14:textId="77C3F141" w:rsidR="00BF4FFC" w:rsidRDefault="009871AE">
      <w:pPr>
        <w:pStyle w:val="Nagwek1"/>
        <w:rPr>
          <w:rFonts w:ascii="Calibri" w:hAnsi="Calibri"/>
        </w:rPr>
      </w:pPr>
      <w:bookmarkStart w:id="171" w:name="_Toc482093976"/>
      <w:bookmarkStart w:id="172" w:name="_Toc59918612"/>
      <w:bookmarkStart w:id="173" w:name="_Toc64132851"/>
      <w:bookmarkStart w:id="174" w:name="_Toc67141077"/>
      <w:bookmarkStart w:id="175" w:name="_Toc67307379"/>
      <w:bookmarkStart w:id="176" w:name="_Toc67310282"/>
      <w:bookmarkStart w:id="177" w:name="_Toc97015010"/>
      <w:bookmarkStart w:id="178" w:name="_Toc97100743"/>
      <w:bookmarkStart w:id="179" w:name="_Toc97364984"/>
      <w:bookmarkStart w:id="180" w:name="_Toc97365030"/>
      <w:bookmarkStart w:id="181" w:name="_Toc108591676"/>
      <w:bookmarkStart w:id="182" w:name="_Toc108592688"/>
      <w:bookmarkStart w:id="183" w:name="_Toc108592753"/>
      <w:bookmarkStart w:id="184" w:name="_Toc133584139"/>
      <w:bookmarkStart w:id="185" w:name="_Toc138666213"/>
      <w:bookmarkStart w:id="186" w:name="_Toc219271391"/>
      <w:bookmarkEnd w:id="95"/>
      <w:bookmarkEnd w:id="96"/>
      <w:bookmarkEnd w:id="170"/>
      <w:proofErr w:type="gramStart"/>
      <w:r>
        <w:rPr>
          <w:rFonts w:ascii="Calibri" w:hAnsi="Calibri"/>
        </w:rPr>
        <w:lastRenderedPageBreak/>
        <w:t>Rozdział  IV.</w:t>
      </w:r>
      <w:proofErr w:type="gramEnd"/>
      <w:r>
        <w:rPr>
          <w:rFonts w:ascii="Calibri" w:hAnsi="Calibri"/>
        </w:rPr>
        <w:t xml:space="preserve"> Wybór obszaru zdegradowanego i obszaru rewitalizacji</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17E53406" w14:textId="357A3CFC" w:rsidR="00BF4FFC" w:rsidRPr="001E67A2" w:rsidRDefault="009871AE" w:rsidP="009F0A7D">
      <w:pPr>
        <w:shd w:val="clear" w:color="auto" w:fill="F2F2F2" w:themeFill="background1" w:themeFillShade="F2"/>
        <w:spacing w:before="120" w:after="120" w:line="264" w:lineRule="auto"/>
        <w:rPr>
          <w:iCs/>
        </w:rPr>
      </w:pPr>
      <w:r w:rsidRPr="001E67A2">
        <w:rPr>
          <w:iCs/>
        </w:rPr>
        <w:t xml:space="preserve">Niniejszy rozdział opisuje wynik analizy obszaru 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w:t>
      </w:r>
      <w:r w:rsidR="00391B1D">
        <w:rPr>
          <w:iCs/>
        </w:rPr>
        <w:t>(</w:t>
      </w:r>
      <w:r w:rsidR="00391B1D" w:rsidRPr="00391B1D">
        <w:rPr>
          <w:iCs/>
        </w:rPr>
        <w:t>tj. Dz. U. z 2024 r. poz. 1411</w:t>
      </w:r>
      <w:r w:rsidRPr="001E67A2">
        <w:rPr>
          <w:iCs/>
        </w:rPr>
        <w:t>), niskiego poziomu edukacji lub kapitału społecznego, a także niewystarczającego poziomu uczestnictwa w życiu publicznym i kulturalnym, na potrzeby wyznaczenia obszaru zdegradowanego i obszaru rewitalizacji.</w:t>
      </w:r>
    </w:p>
    <w:p w14:paraId="4F0976B0" w14:textId="77777777" w:rsidR="00BF4FFC" w:rsidRDefault="00BF4FFC">
      <w:pPr>
        <w:spacing w:after="0"/>
        <w:rPr>
          <w:sz w:val="2"/>
          <w:szCs w:val="2"/>
        </w:rPr>
      </w:pPr>
      <w:bookmarkStart w:id="187" w:name="_Toc470822845"/>
      <w:bookmarkStart w:id="188" w:name="_Toc470826191"/>
      <w:bookmarkStart w:id="189" w:name="_Toc470826357"/>
      <w:bookmarkStart w:id="190" w:name="_Toc470826414"/>
      <w:bookmarkStart w:id="191" w:name="_Toc470826478"/>
      <w:bookmarkStart w:id="192" w:name="_Toc470826535"/>
      <w:bookmarkStart w:id="193" w:name="_Toc470829084"/>
      <w:bookmarkStart w:id="194" w:name="_Toc470822846"/>
      <w:bookmarkStart w:id="195" w:name="_Toc470826192"/>
      <w:bookmarkStart w:id="196" w:name="_Toc470826358"/>
      <w:bookmarkStart w:id="197" w:name="_Toc470826415"/>
      <w:bookmarkStart w:id="198" w:name="_Toc470826479"/>
      <w:bookmarkStart w:id="199" w:name="_Toc470826536"/>
      <w:bookmarkStart w:id="200" w:name="_Toc470829085"/>
      <w:bookmarkStart w:id="201" w:name="_Toc470822847"/>
      <w:bookmarkStart w:id="202" w:name="_Toc470826193"/>
      <w:bookmarkStart w:id="203" w:name="_Toc470826359"/>
      <w:bookmarkStart w:id="204" w:name="_Toc470826416"/>
      <w:bookmarkStart w:id="205" w:name="_Toc470826480"/>
      <w:bookmarkStart w:id="206" w:name="_Toc470826537"/>
      <w:bookmarkStart w:id="207" w:name="_Toc470829086"/>
      <w:bookmarkStart w:id="208" w:name="_Toc470822848"/>
      <w:bookmarkStart w:id="209" w:name="_Toc470826194"/>
      <w:bookmarkStart w:id="210" w:name="_Toc470826360"/>
      <w:bookmarkStart w:id="211" w:name="_Toc470826417"/>
      <w:bookmarkStart w:id="212" w:name="_Toc470826481"/>
      <w:bookmarkStart w:id="213" w:name="_Toc470826538"/>
      <w:bookmarkStart w:id="214" w:name="_Toc470829087"/>
      <w:bookmarkStart w:id="215" w:name="_Toc470822849"/>
      <w:bookmarkStart w:id="216" w:name="_Toc470826195"/>
      <w:bookmarkStart w:id="217" w:name="_Toc470826361"/>
      <w:bookmarkStart w:id="218" w:name="_Toc470826418"/>
      <w:bookmarkStart w:id="219" w:name="_Toc470826482"/>
      <w:bookmarkStart w:id="220" w:name="_Toc470826539"/>
      <w:bookmarkStart w:id="221" w:name="_Toc470829088"/>
      <w:bookmarkStart w:id="222" w:name="_Toc470822850"/>
      <w:bookmarkStart w:id="223" w:name="_Toc470826196"/>
      <w:bookmarkStart w:id="224" w:name="_Toc470826362"/>
      <w:bookmarkStart w:id="225" w:name="_Toc470826419"/>
      <w:bookmarkStart w:id="226" w:name="_Toc470826483"/>
      <w:bookmarkStart w:id="227" w:name="_Toc470826540"/>
      <w:bookmarkStart w:id="228" w:name="_Toc470829089"/>
      <w:bookmarkStart w:id="229" w:name="_Toc466837484"/>
      <w:bookmarkStart w:id="230" w:name="_Toc472067182"/>
      <w:bookmarkStart w:id="231" w:name="_Toc482093977"/>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391B13BB" w14:textId="77777777" w:rsidR="00BF4FFC" w:rsidRDefault="009871AE" w:rsidP="003D2355">
      <w:pPr>
        <w:pStyle w:val="Nagwek2"/>
      </w:pPr>
      <w:bookmarkStart w:id="232" w:name="_Toc59918613"/>
      <w:bookmarkStart w:id="233" w:name="_Toc64132852"/>
      <w:bookmarkStart w:id="234" w:name="_Toc67141078"/>
      <w:bookmarkStart w:id="235" w:name="_Toc67307380"/>
      <w:bookmarkStart w:id="236" w:name="_Toc67310283"/>
      <w:bookmarkStart w:id="237" w:name="_Toc97015011"/>
      <w:bookmarkStart w:id="238" w:name="_Toc97100744"/>
      <w:bookmarkStart w:id="239" w:name="_Toc97364985"/>
      <w:bookmarkStart w:id="240" w:name="_Toc97365031"/>
      <w:bookmarkStart w:id="241" w:name="_Toc108591677"/>
      <w:bookmarkStart w:id="242" w:name="_Toc108592689"/>
      <w:bookmarkStart w:id="243" w:name="_Toc108592754"/>
      <w:bookmarkStart w:id="244" w:name="_Toc133584140"/>
      <w:bookmarkStart w:id="245" w:name="_Toc138666214"/>
      <w:bookmarkStart w:id="246" w:name="_Toc219271392"/>
      <w:r>
        <w:t>Wprowadzenie</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4740B282" w14:textId="77777777" w:rsidR="00895A36" w:rsidRDefault="009871AE" w:rsidP="009F0A7D">
      <w:pPr>
        <w:spacing w:before="120" w:after="0" w:line="264" w:lineRule="auto"/>
        <w:rPr>
          <w:sz w:val="24"/>
          <w:szCs w:val="24"/>
        </w:rPr>
      </w:pPr>
      <w:r>
        <w:rPr>
          <w:sz w:val="24"/>
          <w:szCs w:val="24"/>
        </w:rPr>
        <w:t xml:space="preserve">Wybór obszarów wskazanych do objęcia procesem rewitalizacji jest wynikiem gruntownej diagnozy zjawisk kryzysowych występujących na jej terenie oraz wynikiem ustalenia ich koncentracji terytorialnej. W oparciu o przeprowadzone analizy ilościowe i jakościowe oraz wyznaczone na ich podstawie strefy wysokiej koncentracji negatywnych zjawisk wyznaczono granice obszarów zdegradowanych. Obszary te dały podstawę do przeprowadzenia konsultacji społecznych. Szczegółowa analiza wyników diagnozy czynników kryzysowych oraz badanie ankietowe mieszkańców, umożliwiły wyznaczenie obszarów zdegradowanych. </w:t>
      </w:r>
    </w:p>
    <w:p w14:paraId="383A69F6" w14:textId="63E0221F" w:rsidR="009F0A7D" w:rsidRDefault="009871AE" w:rsidP="009F0A7D">
      <w:pPr>
        <w:spacing w:before="120" w:after="0" w:line="264" w:lineRule="auto"/>
        <w:rPr>
          <w:sz w:val="24"/>
          <w:szCs w:val="24"/>
        </w:rPr>
      </w:pPr>
      <w:r>
        <w:rPr>
          <w:sz w:val="24"/>
          <w:szCs w:val="24"/>
        </w:rPr>
        <w:t>Podsumowując proces delimitacji obszaru zdegradowanego i obszaru rewitalizacji</w:t>
      </w:r>
      <w:r w:rsidR="007D78C5">
        <w:rPr>
          <w:sz w:val="24"/>
          <w:szCs w:val="24"/>
        </w:rPr>
        <w:t>,</w:t>
      </w:r>
      <w:r>
        <w:rPr>
          <w:sz w:val="24"/>
          <w:szCs w:val="24"/>
        </w:rPr>
        <w:t xml:space="preserve"> należy wskazać, że podstawę wyznaczenia </w:t>
      </w:r>
      <w:r w:rsidR="007D78C5">
        <w:rPr>
          <w:sz w:val="24"/>
          <w:szCs w:val="24"/>
        </w:rPr>
        <w:t>tych obszarów</w:t>
      </w:r>
      <w:r>
        <w:rPr>
          <w:sz w:val="24"/>
          <w:szCs w:val="24"/>
        </w:rPr>
        <w:t xml:space="preserve"> stanowiła analiza, w której wykorzystane zostały obiektywne i weryfikowalne mierniki (wskaźniki) </w:t>
      </w:r>
      <w:r w:rsidR="007D78C5">
        <w:rPr>
          <w:sz w:val="24"/>
          <w:szCs w:val="24"/>
        </w:rPr>
        <w:t>oraz</w:t>
      </w:r>
      <w:r>
        <w:rPr>
          <w:sz w:val="24"/>
          <w:szCs w:val="24"/>
        </w:rPr>
        <w:t xml:space="preserve"> metody badawcze dostosowane do lokalnych uwarunkowań. W </w:t>
      </w:r>
      <w:r w:rsidR="007D78C5">
        <w:rPr>
          <w:sz w:val="24"/>
          <w:szCs w:val="24"/>
        </w:rPr>
        <w:t>odniesieniu</w:t>
      </w:r>
      <w:r>
        <w:rPr>
          <w:sz w:val="24"/>
          <w:szCs w:val="24"/>
        </w:rPr>
        <w:t xml:space="preserve"> do każdego wskaźnika określono</w:t>
      </w:r>
      <w:r w:rsidR="007D78C5">
        <w:rPr>
          <w:sz w:val="24"/>
          <w:szCs w:val="24"/>
        </w:rPr>
        <w:t>,</w:t>
      </w:r>
      <w:r>
        <w:rPr>
          <w:sz w:val="24"/>
          <w:szCs w:val="24"/>
        </w:rPr>
        <w:t xml:space="preserve"> czy jest tzw</w:t>
      </w:r>
      <w:r>
        <w:rPr>
          <w:i/>
          <w:iCs/>
          <w:sz w:val="24"/>
          <w:szCs w:val="24"/>
        </w:rPr>
        <w:t xml:space="preserve">. </w:t>
      </w:r>
      <w:r w:rsidRPr="001E67A2">
        <w:rPr>
          <w:sz w:val="24"/>
          <w:szCs w:val="24"/>
        </w:rPr>
        <w:t>stymulanta, czy destymulanta</w:t>
      </w:r>
      <w:r w:rsidR="007D78C5">
        <w:rPr>
          <w:sz w:val="24"/>
          <w:szCs w:val="24"/>
        </w:rPr>
        <w:t>,</w:t>
      </w:r>
      <w:r w:rsidRPr="001E67A2">
        <w:rPr>
          <w:sz w:val="24"/>
          <w:szCs w:val="24"/>
        </w:rPr>
        <w:t xml:space="preserve"> rozumianą</w:t>
      </w:r>
      <w:r>
        <w:rPr>
          <w:sz w:val="24"/>
          <w:szCs w:val="24"/>
        </w:rPr>
        <w:t xml:space="preserve"> jako wskazanie, że wysokie wartości wskaźnika świadczą o występowaniu zjawiska pozytywnego </w:t>
      </w:r>
      <w:r w:rsidR="007D78C5">
        <w:rPr>
          <w:sz w:val="24"/>
          <w:szCs w:val="24"/>
        </w:rPr>
        <w:t>w przypadku</w:t>
      </w:r>
      <w:r>
        <w:rPr>
          <w:sz w:val="24"/>
          <w:szCs w:val="24"/>
        </w:rPr>
        <w:t xml:space="preserve"> stymulan</w:t>
      </w:r>
      <w:r w:rsidR="007D78C5">
        <w:rPr>
          <w:sz w:val="24"/>
          <w:szCs w:val="24"/>
        </w:rPr>
        <w:t>ta</w:t>
      </w:r>
      <w:r>
        <w:rPr>
          <w:sz w:val="24"/>
          <w:szCs w:val="24"/>
        </w:rPr>
        <w:t xml:space="preserve"> i zjawiska negatywnego </w:t>
      </w:r>
      <w:r w:rsidR="007D78C5">
        <w:rPr>
          <w:sz w:val="24"/>
          <w:szCs w:val="24"/>
        </w:rPr>
        <w:t>w przypadku</w:t>
      </w:r>
      <w:r>
        <w:rPr>
          <w:sz w:val="24"/>
          <w:szCs w:val="24"/>
        </w:rPr>
        <w:t xml:space="preserve"> destymulan</w:t>
      </w:r>
      <w:r w:rsidR="007D78C5">
        <w:rPr>
          <w:sz w:val="24"/>
          <w:szCs w:val="24"/>
        </w:rPr>
        <w:t>ta</w:t>
      </w:r>
      <w:r>
        <w:rPr>
          <w:sz w:val="24"/>
          <w:szCs w:val="24"/>
        </w:rPr>
        <w:t xml:space="preserve">. W ramach wyznaczania obszaru zdegradowanego oraz obszaru rewitalizacji wyznaczono </w:t>
      </w:r>
      <w:proofErr w:type="gramStart"/>
      <w:r>
        <w:rPr>
          <w:sz w:val="24"/>
          <w:szCs w:val="24"/>
        </w:rPr>
        <w:t>jednostki</w:t>
      </w:r>
      <w:proofErr w:type="gramEnd"/>
      <w:r>
        <w:rPr>
          <w:sz w:val="24"/>
          <w:szCs w:val="24"/>
        </w:rPr>
        <w:t xml:space="preserve"> gdzie zidentyfikowano stan kryzysowy wynikający z </w:t>
      </w:r>
      <w:r w:rsidRPr="00563FE5">
        <w:rPr>
          <w:b/>
          <w:bCs/>
          <w:sz w:val="24"/>
          <w:szCs w:val="24"/>
        </w:rPr>
        <w:t>natężenia problemów społecznych i co najmniej jednego z problemów w sferze gospodarczej, środowiskowej, przestrzenno-funkcjonalnej lub technicznej.</w:t>
      </w:r>
      <w:bookmarkStart w:id="247" w:name="_Toc67141045"/>
      <w:bookmarkStart w:id="248" w:name="_Toc67307027"/>
      <w:bookmarkStart w:id="249" w:name="_Toc97300849"/>
    </w:p>
    <w:p w14:paraId="29522A1F" w14:textId="06C2D06C" w:rsidR="00BF4FFC" w:rsidRDefault="009F0A7D" w:rsidP="002D6249">
      <w:pPr>
        <w:pStyle w:val="Legenda"/>
        <w:rPr>
          <w:rStyle w:val="Tytuksiki"/>
        </w:rPr>
      </w:pPr>
      <w:bookmarkStart w:id="250" w:name="_Toc219274344"/>
      <w:r w:rsidRPr="009F0A7D">
        <w:rPr>
          <w:rStyle w:val="Tytuksiki"/>
        </w:rPr>
        <w:t xml:space="preserve">Tabela </w:t>
      </w:r>
      <w:r w:rsidRPr="009F0A7D">
        <w:rPr>
          <w:rStyle w:val="Tytuksiki"/>
        </w:rPr>
        <w:fldChar w:fldCharType="begin"/>
      </w:r>
      <w:r w:rsidRPr="009F0A7D">
        <w:rPr>
          <w:rStyle w:val="Tytuksiki"/>
        </w:rPr>
        <w:instrText xml:space="preserve"> SEQ Tabela \* ARABIC </w:instrText>
      </w:r>
      <w:r w:rsidRPr="009F0A7D">
        <w:rPr>
          <w:rStyle w:val="Tytuksiki"/>
        </w:rPr>
        <w:fldChar w:fldCharType="separate"/>
      </w:r>
      <w:r w:rsidR="007A030F">
        <w:rPr>
          <w:rStyle w:val="Tytuksiki"/>
          <w:noProof/>
        </w:rPr>
        <w:t>8</w:t>
      </w:r>
      <w:r w:rsidRPr="009F0A7D">
        <w:rPr>
          <w:rStyle w:val="Tytuksiki"/>
        </w:rPr>
        <w:fldChar w:fldCharType="end"/>
      </w:r>
      <w:r w:rsidRPr="009F0A7D">
        <w:rPr>
          <w:rStyle w:val="Tytuksiki"/>
        </w:rPr>
        <w:t xml:space="preserve">. </w:t>
      </w:r>
      <w:r w:rsidR="009871AE" w:rsidRPr="009F0A7D">
        <w:rPr>
          <w:rStyle w:val="Tytuksiki"/>
        </w:rPr>
        <w:t xml:space="preserve">Zbiorcza analiza uwarunkowań społecznych, gospodarczych, środowiskowych i przestrzenno-funkcjonalno-technicznych w </w:t>
      </w:r>
      <w:bookmarkEnd w:id="247"/>
      <w:bookmarkEnd w:id="248"/>
      <w:r w:rsidR="009871AE" w:rsidRPr="009F0A7D">
        <w:rPr>
          <w:rStyle w:val="Tytuksiki"/>
        </w:rPr>
        <w:t xml:space="preserve">Gminie </w:t>
      </w:r>
      <w:bookmarkEnd w:id="249"/>
      <w:r w:rsidR="007A030F">
        <w:rPr>
          <w:rStyle w:val="Tytuksiki"/>
        </w:rPr>
        <w:t>Krośniewice</w:t>
      </w:r>
      <w:bookmarkEnd w:id="250"/>
    </w:p>
    <w:tbl>
      <w:tblPr>
        <w:tblW w:w="10915" w:type="dxa"/>
        <w:tblInd w:w="-572" w:type="dxa"/>
        <w:tblCellMar>
          <w:left w:w="70" w:type="dxa"/>
          <w:right w:w="70" w:type="dxa"/>
        </w:tblCellMar>
        <w:tblLook w:val="04A0" w:firstRow="1" w:lastRow="0" w:firstColumn="1" w:lastColumn="0" w:noHBand="0" w:noVBand="1"/>
      </w:tblPr>
      <w:tblGrid>
        <w:gridCol w:w="3828"/>
        <w:gridCol w:w="1417"/>
        <w:gridCol w:w="1438"/>
        <w:gridCol w:w="1255"/>
        <w:gridCol w:w="1418"/>
        <w:gridCol w:w="1559"/>
      </w:tblGrid>
      <w:tr w:rsidR="00E20BBA" w:rsidRPr="00E20BBA" w14:paraId="54CFEE10" w14:textId="77777777" w:rsidTr="008503B4">
        <w:trPr>
          <w:trHeight w:val="1160"/>
        </w:trPr>
        <w:tc>
          <w:tcPr>
            <w:tcW w:w="3828" w:type="dxa"/>
            <w:tcBorders>
              <w:top w:val="single" w:sz="4" w:space="0" w:color="auto"/>
              <w:left w:val="single" w:sz="4" w:space="0" w:color="auto"/>
              <w:bottom w:val="single" w:sz="4" w:space="0" w:color="auto"/>
              <w:right w:val="single" w:sz="4" w:space="0" w:color="auto"/>
            </w:tcBorders>
            <w:shd w:val="clear" w:color="000080" w:fill="4472C4"/>
            <w:noWrap/>
            <w:vAlign w:val="center"/>
            <w:hideMark/>
          </w:tcPr>
          <w:p w14:paraId="0D52BC83" w14:textId="798AD83C" w:rsidR="00E20BBA" w:rsidRPr="00E20BBA" w:rsidRDefault="00E20BBA" w:rsidP="00E20BBA">
            <w:pPr>
              <w:suppressAutoHyphens w:val="0"/>
              <w:autoSpaceDN/>
              <w:spacing w:after="0"/>
              <w:jc w:val="center"/>
              <w:textAlignment w:val="auto"/>
              <w:rPr>
                <w:rFonts w:eastAsia="Times New Roman" w:cs="Calibri"/>
                <w:color w:val="FFFFFF"/>
                <w:lang w:eastAsia="pl-PL"/>
              </w:rPr>
            </w:pPr>
            <w:r w:rsidRPr="00CD5958">
              <w:rPr>
                <w:rFonts w:eastAsia="Times New Roman" w:cs="Calibri"/>
                <w:color w:val="FFFFFF"/>
                <w:lang w:eastAsia="pl-PL"/>
              </w:rPr>
              <w:t>Jednostka urbanistyczna</w:t>
            </w:r>
          </w:p>
        </w:tc>
        <w:tc>
          <w:tcPr>
            <w:tcW w:w="1417" w:type="dxa"/>
            <w:tcBorders>
              <w:top w:val="single" w:sz="4" w:space="0" w:color="auto"/>
              <w:left w:val="nil"/>
              <w:bottom w:val="single" w:sz="4" w:space="0" w:color="auto"/>
              <w:right w:val="nil"/>
            </w:tcBorders>
            <w:shd w:val="clear" w:color="000080" w:fill="4472C4"/>
            <w:vAlign w:val="center"/>
            <w:hideMark/>
          </w:tcPr>
          <w:p w14:paraId="3A169800" w14:textId="77777777" w:rsidR="00E20BBA" w:rsidRPr="00E20BBA" w:rsidRDefault="00E20BBA" w:rsidP="00E20BBA">
            <w:pPr>
              <w:suppressAutoHyphens w:val="0"/>
              <w:autoSpaceDN/>
              <w:spacing w:after="0"/>
              <w:jc w:val="center"/>
              <w:textAlignment w:val="auto"/>
              <w:rPr>
                <w:rFonts w:eastAsia="Times New Roman" w:cs="Calibri"/>
                <w:color w:val="FFFFFF"/>
                <w:lang w:eastAsia="pl-PL"/>
              </w:rPr>
            </w:pPr>
            <w:r w:rsidRPr="00E20BBA">
              <w:rPr>
                <w:rFonts w:eastAsia="Times New Roman" w:cs="Calibri"/>
                <w:color w:val="FFFFFF"/>
                <w:lang w:eastAsia="pl-PL"/>
              </w:rPr>
              <w:t xml:space="preserve">IMD Społeczne </w:t>
            </w:r>
          </w:p>
        </w:tc>
        <w:tc>
          <w:tcPr>
            <w:tcW w:w="1438" w:type="dxa"/>
            <w:tcBorders>
              <w:top w:val="single" w:sz="4" w:space="0" w:color="auto"/>
              <w:left w:val="single" w:sz="4" w:space="0" w:color="auto"/>
              <w:bottom w:val="single" w:sz="4" w:space="0" w:color="auto"/>
              <w:right w:val="single" w:sz="4" w:space="0" w:color="auto"/>
            </w:tcBorders>
            <w:shd w:val="clear" w:color="000080" w:fill="4472C4"/>
            <w:vAlign w:val="center"/>
            <w:hideMark/>
          </w:tcPr>
          <w:p w14:paraId="0FD20A80" w14:textId="77777777" w:rsidR="00E20BBA" w:rsidRPr="00E20BBA" w:rsidRDefault="00E20BBA" w:rsidP="00E20BBA">
            <w:pPr>
              <w:suppressAutoHyphens w:val="0"/>
              <w:autoSpaceDN/>
              <w:spacing w:after="0"/>
              <w:jc w:val="center"/>
              <w:textAlignment w:val="auto"/>
              <w:rPr>
                <w:rFonts w:eastAsia="Times New Roman" w:cs="Calibri"/>
                <w:color w:val="FFFFFF"/>
                <w:lang w:eastAsia="pl-PL"/>
              </w:rPr>
            </w:pPr>
            <w:r w:rsidRPr="00E20BBA">
              <w:rPr>
                <w:rFonts w:eastAsia="Times New Roman" w:cs="Calibri"/>
                <w:color w:val="FFFFFF"/>
                <w:lang w:eastAsia="pl-PL"/>
              </w:rPr>
              <w:t xml:space="preserve">IMD Gospodarcze </w:t>
            </w:r>
          </w:p>
        </w:tc>
        <w:tc>
          <w:tcPr>
            <w:tcW w:w="1255" w:type="dxa"/>
            <w:tcBorders>
              <w:top w:val="nil"/>
              <w:left w:val="nil"/>
              <w:bottom w:val="nil"/>
              <w:right w:val="nil"/>
            </w:tcBorders>
            <w:shd w:val="clear" w:color="000080" w:fill="4472C4"/>
            <w:vAlign w:val="center"/>
            <w:hideMark/>
          </w:tcPr>
          <w:p w14:paraId="07E98374" w14:textId="77777777" w:rsidR="00E20BBA" w:rsidRPr="00E20BBA" w:rsidRDefault="00E20BBA" w:rsidP="00E20BBA">
            <w:pPr>
              <w:suppressAutoHyphens w:val="0"/>
              <w:autoSpaceDN/>
              <w:spacing w:after="0"/>
              <w:jc w:val="center"/>
              <w:textAlignment w:val="auto"/>
              <w:rPr>
                <w:rFonts w:eastAsia="Times New Roman" w:cs="Calibri"/>
                <w:color w:val="FFFFFF"/>
                <w:lang w:eastAsia="pl-PL"/>
              </w:rPr>
            </w:pPr>
            <w:r w:rsidRPr="00E20BBA">
              <w:rPr>
                <w:rFonts w:eastAsia="Times New Roman" w:cs="Calibri"/>
                <w:color w:val="FFFFFF"/>
                <w:lang w:eastAsia="pl-PL"/>
              </w:rPr>
              <w:t>IMD Środowiskowe</w:t>
            </w:r>
          </w:p>
        </w:tc>
        <w:tc>
          <w:tcPr>
            <w:tcW w:w="1418"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2464C066" w14:textId="77777777" w:rsidR="00E20BBA" w:rsidRPr="00E20BBA" w:rsidRDefault="00E20BBA" w:rsidP="00E20BBA">
            <w:pPr>
              <w:suppressAutoHyphens w:val="0"/>
              <w:autoSpaceDN/>
              <w:spacing w:after="0"/>
              <w:jc w:val="center"/>
              <w:textAlignment w:val="auto"/>
              <w:rPr>
                <w:rFonts w:eastAsia="Times New Roman" w:cs="Calibri"/>
                <w:color w:val="FFFFFF"/>
                <w:lang w:eastAsia="pl-PL"/>
              </w:rPr>
            </w:pPr>
            <w:r w:rsidRPr="00E20BBA">
              <w:rPr>
                <w:rFonts w:eastAsia="Times New Roman" w:cs="Calibri"/>
                <w:color w:val="FFFFFF"/>
                <w:lang w:eastAsia="pl-PL"/>
              </w:rPr>
              <w:t>IMD przestrzenno-funkcjonalno-techniczne</w:t>
            </w:r>
          </w:p>
        </w:tc>
        <w:tc>
          <w:tcPr>
            <w:tcW w:w="1559" w:type="dxa"/>
            <w:tcBorders>
              <w:top w:val="single" w:sz="4" w:space="0" w:color="auto"/>
              <w:left w:val="nil"/>
              <w:bottom w:val="single" w:sz="4" w:space="0" w:color="auto"/>
              <w:right w:val="single" w:sz="4" w:space="0" w:color="auto"/>
            </w:tcBorders>
            <w:shd w:val="clear" w:color="000000" w:fill="4472C4"/>
            <w:vAlign w:val="center"/>
            <w:hideMark/>
          </w:tcPr>
          <w:p w14:paraId="4835D8EE" w14:textId="77777777" w:rsidR="00E20BBA" w:rsidRPr="00E20BBA" w:rsidRDefault="00E20BBA" w:rsidP="00E20BBA">
            <w:pPr>
              <w:suppressAutoHyphens w:val="0"/>
              <w:autoSpaceDN/>
              <w:spacing w:after="0"/>
              <w:jc w:val="center"/>
              <w:textAlignment w:val="auto"/>
              <w:rPr>
                <w:rFonts w:eastAsia="Times New Roman" w:cs="Calibri"/>
                <w:color w:val="FFFFFF"/>
                <w:lang w:eastAsia="pl-PL"/>
              </w:rPr>
            </w:pPr>
            <w:r w:rsidRPr="00E20BBA">
              <w:rPr>
                <w:rFonts w:eastAsia="Times New Roman" w:cs="Calibri"/>
                <w:color w:val="FFFFFF"/>
                <w:lang w:eastAsia="pl-PL"/>
              </w:rPr>
              <w:t xml:space="preserve">IMD Razem </w:t>
            </w:r>
          </w:p>
        </w:tc>
      </w:tr>
      <w:tr w:rsidR="00E20BBA" w:rsidRPr="00E20BBA" w14:paraId="43B94B68" w14:textId="77777777" w:rsidTr="008503B4">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47ECC037"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Osiedle nr 1</w:t>
            </w:r>
          </w:p>
        </w:tc>
        <w:tc>
          <w:tcPr>
            <w:tcW w:w="1417" w:type="dxa"/>
            <w:tcBorders>
              <w:top w:val="single" w:sz="4" w:space="0" w:color="auto"/>
              <w:left w:val="nil"/>
              <w:bottom w:val="single" w:sz="4" w:space="0" w:color="auto"/>
              <w:right w:val="single" w:sz="4" w:space="0" w:color="auto"/>
            </w:tcBorders>
            <w:shd w:val="clear" w:color="F2F2F2" w:fill="F8CBAD"/>
            <w:noWrap/>
            <w:vAlign w:val="bottom"/>
            <w:hideMark/>
          </w:tcPr>
          <w:p w14:paraId="6096E71A"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8CBAD"/>
            <w:noWrap/>
            <w:vAlign w:val="bottom"/>
            <w:hideMark/>
          </w:tcPr>
          <w:p w14:paraId="182CCA95"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single" w:sz="4" w:space="0" w:color="auto"/>
              <w:left w:val="nil"/>
              <w:bottom w:val="single" w:sz="4" w:space="0" w:color="auto"/>
              <w:right w:val="single" w:sz="4" w:space="0" w:color="auto"/>
            </w:tcBorders>
            <w:shd w:val="clear" w:color="F2F2F2" w:fill="FFE699"/>
            <w:noWrap/>
            <w:vAlign w:val="bottom"/>
            <w:hideMark/>
          </w:tcPr>
          <w:p w14:paraId="09646C75"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8CBAD"/>
            <w:noWrap/>
            <w:vAlign w:val="bottom"/>
            <w:hideMark/>
          </w:tcPr>
          <w:p w14:paraId="6CA16C10"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8CBAD"/>
            <w:noWrap/>
            <w:vAlign w:val="bottom"/>
            <w:hideMark/>
          </w:tcPr>
          <w:p w14:paraId="07BB9E6C"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13</w:t>
            </w:r>
          </w:p>
        </w:tc>
      </w:tr>
      <w:tr w:rsidR="00E20BBA" w:rsidRPr="00E20BBA" w14:paraId="24C79FA5"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368EBB22"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Osiedle nr 2</w:t>
            </w:r>
          </w:p>
        </w:tc>
        <w:tc>
          <w:tcPr>
            <w:tcW w:w="1417" w:type="dxa"/>
            <w:tcBorders>
              <w:top w:val="nil"/>
              <w:left w:val="nil"/>
              <w:bottom w:val="single" w:sz="4" w:space="0" w:color="auto"/>
              <w:right w:val="single" w:sz="4" w:space="0" w:color="auto"/>
            </w:tcBorders>
            <w:shd w:val="clear" w:color="F2F2F2" w:fill="F8CBAD"/>
            <w:noWrap/>
            <w:vAlign w:val="bottom"/>
            <w:hideMark/>
          </w:tcPr>
          <w:p w14:paraId="1CADE5D7"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8CBAD"/>
            <w:noWrap/>
            <w:vAlign w:val="bottom"/>
            <w:hideMark/>
          </w:tcPr>
          <w:p w14:paraId="56571E74"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C6E0B4"/>
            <w:noWrap/>
            <w:vAlign w:val="bottom"/>
            <w:hideMark/>
          </w:tcPr>
          <w:p w14:paraId="67382E91"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FE699"/>
            <w:noWrap/>
            <w:vAlign w:val="bottom"/>
            <w:hideMark/>
          </w:tcPr>
          <w:p w14:paraId="715F5620"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8CBAD"/>
            <w:noWrap/>
            <w:vAlign w:val="bottom"/>
            <w:hideMark/>
          </w:tcPr>
          <w:p w14:paraId="71780794"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10</w:t>
            </w:r>
          </w:p>
        </w:tc>
      </w:tr>
      <w:tr w:rsidR="00E20BBA" w:rsidRPr="00E20BBA" w14:paraId="14C951E6"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19443F8E"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Osiedle nr 3 im. Gen. W. Andersa</w:t>
            </w:r>
          </w:p>
        </w:tc>
        <w:tc>
          <w:tcPr>
            <w:tcW w:w="1417" w:type="dxa"/>
            <w:tcBorders>
              <w:top w:val="nil"/>
              <w:left w:val="nil"/>
              <w:bottom w:val="single" w:sz="4" w:space="0" w:color="auto"/>
              <w:right w:val="single" w:sz="4" w:space="0" w:color="auto"/>
            </w:tcBorders>
            <w:shd w:val="clear" w:color="F2F2F2" w:fill="F8CBAD"/>
            <w:noWrap/>
            <w:vAlign w:val="bottom"/>
            <w:hideMark/>
          </w:tcPr>
          <w:p w14:paraId="6A46F06B"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3E821DCD"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C6E0B4"/>
            <w:noWrap/>
            <w:vAlign w:val="bottom"/>
            <w:hideMark/>
          </w:tcPr>
          <w:p w14:paraId="20BE0EA7"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FE699"/>
            <w:noWrap/>
            <w:vAlign w:val="bottom"/>
            <w:hideMark/>
          </w:tcPr>
          <w:p w14:paraId="3644D397"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8CBAD"/>
            <w:noWrap/>
            <w:vAlign w:val="bottom"/>
            <w:hideMark/>
          </w:tcPr>
          <w:p w14:paraId="0976272B"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12</w:t>
            </w:r>
          </w:p>
        </w:tc>
      </w:tr>
      <w:tr w:rsidR="00E20BBA" w:rsidRPr="00E20BBA" w14:paraId="4523AC9C"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0A579DA7"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Osiedle nr 4</w:t>
            </w:r>
          </w:p>
        </w:tc>
        <w:tc>
          <w:tcPr>
            <w:tcW w:w="1417" w:type="dxa"/>
            <w:tcBorders>
              <w:top w:val="nil"/>
              <w:left w:val="nil"/>
              <w:bottom w:val="single" w:sz="4" w:space="0" w:color="auto"/>
              <w:right w:val="single" w:sz="4" w:space="0" w:color="auto"/>
            </w:tcBorders>
            <w:shd w:val="clear" w:color="F2F2F2" w:fill="F8CBAD"/>
            <w:noWrap/>
            <w:vAlign w:val="bottom"/>
            <w:hideMark/>
          </w:tcPr>
          <w:p w14:paraId="5E47D2E1"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C6E0B4"/>
            <w:noWrap/>
            <w:vAlign w:val="bottom"/>
            <w:hideMark/>
          </w:tcPr>
          <w:p w14:paraId="0471D8F5"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C6E0B4"/>
            <w:noWrap/>
            <w:vAlign w:val="bottom"/>
            <w:hideMark/>
          </w:tcPr>
          <w:p w14:paraId="1E9CF2F7"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8CBAD"/>
            <w:noWrap/>
            <w:vAlign w:val="bottom"/>
            <w:hideMark/>
          </w:tcPr>
          <w:p w14:paraId="0621BDE8"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8CBAD"/>
            <w:noWrap/>
            <w:vAlign w:val="bottom"/>
            <w:hideMark/>
          </w:tcPr>
          <w:p w14:paraId="577F2E65"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9</w:t>
            </w:r>
          </w:p>
        </w:tc>
      </w:tr>
      <w:tr w:rsidR="00E20BBA" w:rsidRPr="00E20BBA" w14:paraId="6C1F6DA2"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04A1C74C"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Osiedle nr 5</w:t>
            </w:r>
          </w:p>
        </w:tc>
        <w:tc>
          <w:tcPr>
            <w:tcW w:w="1417" w:type="dxa"/>
            <w:tcBorders>
              <w:top w:val="nil"/>
              <w:left w:val="nil"/>
              <w:bottom w:val="single" w:sz="4" w:space="0" w:color="auto"/>
              <w:right w:val="single" w:sz="4" w:space="0" w:color="auto"/>
            </w:tcBorders>
            <w:shd w:val="clear" w:color="F2F2F2" w:fill="F8CBAD"/>
            <w:noWrap/>
            <w:vAlign w:val="bottom"/>
            <w:hideMark/>
          </w:tcPr>
          <w:p w14:paraId="4D67744B"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C6E0B4"/>
            <w:noWrap/>
            <w:vAlign w:val="bottom"/>
            <w:hideMark/>
          </w:tcPr>
          <w:p w14:paraId="14E5383E"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8CBAD"/>
            <w:noWrap/>
            <w:vAlign w:val="bottom"/>
            <w:hideMark/>
          </w:tcPr>
          <w:p w14:paraId="38AB5194"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FE699"/>
            <w:noWrap/>
            <w:vAlign w:val="bottom"/>
            <w:hideMark/>
          </w:tcPr>
          <w:p w14:paraId="1F65774E"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8CBAD"/>
            <w:noWrap/>
            <w:vAlign w:val="bottom"/>
            <w:hideMark/>
          </w:tcPr>
          <w:p w14:paraId="129EAB54"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10</w:t>
            </w:r>
          </w:p>
        </w:tc>
      </w:tr>
      <w:tr w:rsidR="00E20BBA" w:rsidRPr="00E20BBA" w14:paraId="4B4EADF4"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0CBDE1EE"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Osiedle nr 6</w:t>
            </w:r>
          </w:p>
        </w:tc>
        <w:tc>
          <w:tcPr>
            <w:tcW w:w="1417" w:type="dxa"/>
            <w:tcBorders>
              <w:top w:val="nil"/>
              <w:left w:val="nil"/>
              <w:bottom w:val="single" w:sz="4" w:space="0" w:color="auto"/>
              <w:right w:val="single" w:sz="4" w:space="0" w:color="auto"/>
            </w:tcBorders>
            <w:shd w:val="clear" w:color="F2F2F2" w:fill="F8CBAD"/>
            <w:noWrap/>
            <w:vAlign w:val="bottom"/>
            <w:hideMark/>
          </w:tcPr>
          <w:p w14:paraId="6B912786"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3AA62522"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12EB6118"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FE699"/>
            <w:noWrap/>
            <w:vAlign w:val="bottom"/>
            <w:hideMark/>
          </w:tcPr>
          <w:p w14:paraId="6AF8A417"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8CBAD"/>
            <w:noWrap/>
            <w:vAlign w:val="bottom"/>
            <w:hideMark/>
          </w:tcPr>
          <w:p w14:paraId="5FBC0668"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9</w:t>
            </w:r>
          </w:p>
        </w:tc>
      </w:tr>
      <w:tr w:rsidR="00E20BBA" w:rsidRPr="00E20BBA" w14:paraId="7BE06DC2"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2474523E"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Bielice</w:t>
            </w:r>
          </w:p>
        </w:tc>
        <w:tc>
          <w:tcPr>
            <w:tcW w:w="1417" w:type="dxa"/>
            <w:tcBorders>
              <w:top w:val="nil"/>
              <w:left w:val="nil"/>
              <w:bottom w:val="single" w:sz="4" w:space="0" w:color="auto"/>
              <w:right w:val="single" w:sz="4" w:space="0" w:color="auto"/>
            </w:tcBorders>
            <w:shd w:val="clear" w:color="F2F2F2" w:fill="C6E0B4"/>
            <w:noWrap/>
            <w:vAlign w:val="bottom"/>
            <w:hideMark/>
          </w:tcPr>
          <w:p w14:paraId="1D83DDE1"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66E3D3E8"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4D455CF2"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C6E0B4"/>
            <w:noWrap/>
            <w:vAlign w:val="bottom"/>
            <w:hideMark/>
          </w:tcPr>
          <w:p w14:paraId="790B9ECE"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C6E0B4"/>
            <w:noWrap/>
            <w:vAlign w:val="bottom"/>
            <w:hideMark/>
          </w:tcPr>
          <w:p w14:paraId="4DD83E72"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6</w:t>
            </w:r>
          </w:p>
        </w:tc>
      </w:tr>
      <w:tr w:rsidR="00E20BBA" w:rsidRPr="00E20BBA" w14:paraId="19A2FBD1"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6BDF9D37"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Franki</w:t>
            </w:r>
          </w:p>
        </w:tc>
        <w:tc>
          <w:tcPr>
            <w:tcW w:w="1417" w:type="dxa"/>
            <w:tcBorders>
              <w:top w:val="nil"/>
              <w:left w:val="nil"/>
              <w:bottom w:val="single" w:sz="4" w:space="0" w:color="auto"/>
              <w:right w:val="single" w:sz="4" w:space="0" w:color="auto"/>
            </w:tcBorders>
            <w:shd w:val="clear" w:color="F2F2F2" w:fill="FFE699"/>
            <w:noWrap/>
            <w:vAlign w:val="bottom"/>
            <w:hideMark/>
          </w:tcPr>
          <w:p w14:paraId="7C9F3CFD"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03F3B96A"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381CC298"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C6E0B4"/>
            <w:noWrap/>
            <w:vAlign w:val="bottom"/>
            <w:hideMark/>
          </w:tcPr>
          <w:p w14:paraId="426205B4"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C6E0B4"/>
            <w:noWrap/>
            <w:vAlign w:val="bottom"/>
            <w:hideMark/>
          </w:tcPr>
          <w:p w14:paraId="4581A4FB"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7</w:t>
            </w:r>
          </w:p>
        </w:tc>
      </w:tr>
      <w:tr w:rsidR="00E20BBA" w:rsidRPr="00E20BBA" w14:paraId="3848CFA9"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1CA3311B"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Jankowice</w:t>
            </w:r>
          </w:p>
        </w:tc>
        <w:tc>
          <w:tcPr>
            <w:tcW w:w="1417" w:type="dxa"/>
            <w:tcBorders>
              <w:top w:val="nil"/>
              <w:left w:val="nil"/>
              <w:bottom w:val="single" w:sz="4" w:space="0" w:color="auto"/>
              <w:right w:val="single" w:sz="4" w:space="0" w:color="auto"/>
            </w:tcBorders>
            <w:shd w:val="clear" w:color="F2F2F2" w:fill="FFE699"/>
            <w:noWrap/>
            <w:vAlign w:val="bottom"/>
            <w:hideMark/>
          </w:tcPr>
          <w:p w14:paraId="3B9FAAC8"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C6E0B4"/>
            <w:noWrap/>
            <w:vAlign w:val="bottom"/>
            <w:hideMark/>
          </w:tcPr>
          <w:p w14:paraId="7767898D"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5A14F0B0"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8CBAD"/>
            <w:noWrap/>
            <w:vAlign w:val="bottom"/>
            <w:hideMark/>
          </w:tcPr>
          <w:p w14:paraId="7062838D"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0E5D9C7B"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8</w:t>
            </w:r>
          </w:p>
        </w:tc>
      </w:tr>
      <w:tr w:rsidR="00E20BBA" w:rsidRPr="00E20BBA" w14:paraId="30B23CAB"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5C5349FA"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Kajew</w:t>
            </w:r>
          </w:p>
        </w:tc>
        <w:tc>
          <w:tcPr>
            <w:tcW w:w="1417" w:type="dxa"/>
            <w:tcBorders>
              <w:top w:val="nil"/>
              <w:left w:val="nil"/>
              <w:bottom w:val="single" w:sz="4" w:space="0" w:color="auto"/>
              <w:right w:val="single" w:sz="4" w:space="0" w:color="auto"/>
            </w:tcBorders>
            <w:shd w:val="clear" w:color="F2F2F2" w:fill="F8CBAD"/>
            <w:noWrap/>
            <w:vAlign w:val="bottom"/>
            <w:hideMark/>
          </w:tcPr>
          <w:p w14:paraId="0249F5E2"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6A6A8E74"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14E7F08E"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C6E0B4"/>
            <w:noWrap/>
            <w:vAlign w:val="bottom"/>
            <w:hideMark/>
          </w:tcPr>
          <w:p w14:paraId="21043E18"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3ACEF5A3"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8</w:t>
            </w:r>
          </w:p>
        </w:tc>
      </w:tr>
      <w:tr w:rsidR="00E20BBA" w:rsidRPr="00E20BBA" w14:paraId="107DBC3F"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40CE266A"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Kopy</w:t>
            </w:r>
          </w:p>
        </w:tc>
        <w:tc>
          <w:tcPr>
            <w:tcW w:w="1417" w:type="dxa"/>
            <w:tcBorders>
              <w:top w:val="nil"/>
              <w:left w:val="nil"/>
              <w:bottom w:val="single" w:sz="4" w:space="0" w:color="auto"/>
              <w:right w:val="single" w:sz="4" w:space="0" w:color="auto"/>
            </w:tcBorders>
            <w:shd w:val="clear" w:color="F2F2F2" w:fill="C6E0B4"/>
            <w:noWrap/>
            <w:vAlign w:val="bottom"/>
            <w:hideMark/>
          </w:tcPr>
          <w:p w14:paraId="3FA4967C"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282DF50E"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061EE40B"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C6E0B4"/>
            <w:noWrap/>
            <w:vAlign w:val="bottom"/>
            <w:hideMark/>
          </w:tcPr>
          <w:p w14:paraId="6A1F382F"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C6E0B4"/>
            <w:noWrap/>
            <w:vAlign w:val="bottom"/>
            <w:hideMark/>
          </w:tcPr>
          <w:p w14:paraId="4ABB5A23"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6</w:t>
            </w:r>
          </w:p>
        </w:tc>
      </w:tr>
      <w:tr w:rsidR="00E20BBA" w:rsidRPr="00E20BBA" w14:paraId="0A1198BF"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42AB73F6"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Luboradz</w:t>
            </w:r>
          </w:p>
        </w:tc>
        <w:tc>
          <w:tcPr>
            <w:tcW w:w="1417" w:type="dxa"/>
            <w:tcBorders>
              <w:top w:val="nil"/>
              <w:left w:val="nil"/>
              <w:bottom w:val="single" w:sz="4" w:space="0" w:color="auto"/>
              <w:right w:val="single" w:sz="4" w:space="0" w:color="auto"/>
            </w:tcBorders>
            <w:shd w:val="clear" w:color="F2F2F2" w:fill="FFE699"/>
            <w:noWrap/>
            <w:vAlign w:val="bottom"/>
            <w:hideMark/>
          </w:tcPr>
          <w:p w14:paraId="468C6B40"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13FB49A6"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2A451F27"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FE699"/>
            <w:noWrap/>
            <w:vAlign w:val="bottom"/>
            <w:hideMark/>
          </w:tcPr>
          <w:p w14:paraId="38C8D756"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0BF9D29D"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8</w:t>
            </w:r>
          </w:p>
        </w:tc>
      </w:tr>
      <w:tr w:rsidR="00E20BBA" w:rsidRPr="00E20BBA" w14:paraId="7C4CDA63" w14:textId="77777777" w:rsidTr="00CD5958">
        <w:trPr>
          <w:trHeight w:val="290"/>
        </w:trPr>
        <w:tc>
          <w:tcPr>
            <w:tcW w:w="3828"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601D8458"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Morawce</w:t>
            </w:r>
          </w:p>
        </w:tc>
        <w:tc>
          <w:tcPr>
            <w:tcW w:w="1417" w:type="dxa"/>
            <w:tcBorders>
              <w:top w:val="single" w:sz="4" w:space="0" w:color="auto"/>
              <w:left w:val="single" w:sz="4" w:space="0" w:color="auto"/>
              <w:bottom w:val="single" w:sz="4" w:space="0" w:color="auto"/>
              <w:right w:val="single" w:sz="4" w:space="0" w:color="auto"/>
            </w:tcBorders>
            <w:shd w:val="clear" w:color="F2F2F2" w:fill="C6E0B4"/>
            <w:noWrap/>
            <w:vAlign w:val="bottom"/>
            <w:hideMark/>
          </w:tcPr>
          <w:p w14:paraId="676AFD35"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single" w:sz="4" w:space="0" w:color="auto"/>
              <w:left w:val="single" w:sz="4" w:space="0" w:color="auto"/>
              <w:bottom w:val="single" w:sz="4" w:space="0" w:color="auto"/>
              <w:right w:val="single" w:sz="4" w:space="0" w:color="auto"/>
            </w:tcBorders>
            <w:shd w:val="clear" w:color="F2F2F2" w:fill="FFE699"/>
            <w:noWrap/>
            <w:vAlign w:val="bottom"/>
            <w:hideMark/>
          </w:tcPr>
          <w:p w14:paraId="0E80C0E9"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single" w:sz="4" w:space="0" w:color="auto"/>
              <w:left w:val="single" w:sz="4" w:space="0" w:color="auto"/>
              <w:bottom w:val="single" w:sz="4" w:space="0" w:color="auto"/>
              <w:right w:val="single" w:sz="4" w:space="0" w:color="auto"/>
            </w:tcBorders>
            <w:shd w:val="clear" w:color="F2F2F2" w:fill="FFE699"/>
            <w:noWrap/>
            <w:vAlign w:val="bottom"/>
            <w:hideMark/>
          </w:tcPr>
          <w:p w14:paraId="7C755846"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3CC86706"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6F2512BD"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7</w:t>
            </w:r>
          </w:p>
        </w:tc>
      </w:tr>
      <w:tr w:rsidR="00E20BBA" w:rsidRPr="00E20BBA" w14:paraId="2970F74A" w14:textId="77777777" w:rsidTr="00673E76">
        <w:trPr>
          <w:trHeight w:val="290"/>
        </w:trPr>
        <w:tc>
          <w:tcPr>
            <w:tcW w:w="3828"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2B630060"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lastRenderedPageBreak/>
              <w:t>Sołectwo Nowe</w:t>
            </w:r>
          </w:p>
        </w:tc>
        <w:tc>
          <w:tcPr>
            <w:tcW w:w="1417" w:type="dxa"/>
            <w:tcBorders>
              <w:top w:val="single" w:sz="4" w:space="0" w:color="auto"/>
              <w:left w:val="single" w:sz="4" w:space="0" w:color="auto"/>
              <w:bottom w:val="single" w:sz="4" w:space="0" w:color="auto"/>
              <w:right w:val="single" w:sz="4" w:space="0" w:color="auto"/>
            </w:tcBorders>
            <w:shd w:val="clear" w:color="F2F2F2" w:fill="C6E0B4"/>
            <w:noWrap/>
            <w:vAlign w:val="bottom"/>
            <w:hideMark/>
          </w:tcPr>
          <w:p w14:paraId="101238D2"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single" w:sz="4" w:space="0" w:color="auto"/>
              <w:left w:val="single" w:sz="4" w:space="0" w:color="auto"/>
              <w:bottom w:val="single" w:sz="4" w:space="0" w:color="auto"/>
              <w:right w:val="single" w:sz="4" w:space="0" w:color="auto"/>
            </w:tcBorders>
            <w:shd w:val="clear" w:color="F2F2F2" w:fill="F8CBAD"/>
            <w:noWrap/>
            <w:vAlign w:val="bottom"/>
            <w:hideMark/>
          </w:tcPr>
          <w:p w14:paraId="261A90E1"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single" w:sz="4" w:space="0" w:color="auto"/>
              <w:left w:val="single" w:sz="4" w:space="0" w:color="auto"/>
              <w:bottom w:val="single" w:sz="4" w:space="0" w:color="auto"/>
              <w:right w:val="single" w:sz="4" w:space="0" w:color="auto"/>
            </w:tcBorders>
            <w:shd w:val="clear" w:color="F2F2F2" w:fill="FFE699"/>
            <w:noWrap/>
            <w:vAlign w:val="bottom"/>
            <w:hideMark/>
          </w:tcPr>
          <w:p w14:paraId="6434D13E"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594C18A1"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5759C1E9" w14:textId="4370C472" w:rsidR="00E20BBA" w:rsidRPr="00E20BBA" w:rsidRDefault="00673E76" w:rsidP="00E20BBA">
            <w:pPr>
              <w:suppressAutoHyphens w:val="0"/>
              <w:autoSpaceDN/>
              <w:spacing w:after="0"/>
              <w:jc w:val="right"/>
              <w:textAlignment w:val="auto"/>
              <w:rPr>
                <w:rFonts w:eastAsia="Times New Roman" w:cs="Calibri"/>
                <w:color w:val="000000"/>
                <w:lang w:eastAsia="pl-PL"/>
              </w:rPr>
            </w:pPr>
            <w:r>
              <w:rPr>
                <w:rFonts w:eastAsia="Times New Roman" w:cs="Calibri"/>
                <w:color w:val="000000"/>
                <w:lang w:eastAsia="pl-PL"/>
              </w:rPr>
              <w:t>8</w:t>
            </w:r>
          </w:p>
        </w:tc>
      </w:tr>
      <w:tr w:rsidR="00E20BBA" w:rsidRPr="00E20BBA" w14:paraId="029C6113" w14:textId="77777777" w:rsidTr="00CD5958">
        <w:trPr>
          <w:trHeight w:val="290"/>
        </w:trPr>
        <w:tc>
          <w:tcPr>
            <w:tcW w:w="3828"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6DCB9E15"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Ostałów</w:t>
            </w:r>
          </w:p>
        </w:tc>
        <w:tc>
          <w:tcPr>
            <w:tcW w:w="1417" w:type="dxa"/>
            <w:tcBorders>
              <w:top w:val="single" w:sz="4" w:space="0" w:color="auto"/>
              <w:left w:val="nil"/>
              <w:bottom w:val="single" w:sz="4" w:space="0" w:color="auto"/>
              <w:right w:val="single" w:sz="4" w:space="0" w:color="auto"/>
            </w:tcBorders>
            <w:shd w:val="clear" w:color="F2F2F2" w:fill="FFE699"/>
            <w:noWrap/>
            <w:vAlign w:val="bottom"/>
            <w:hideMark/>
          </w:tcPr>
          <w:p w14:paraId="377C816B"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single" w:sz="4" w:space="0" w:color="auto"/>
              <w:left w:val="nil"/>
              <w:bottom w:val="single" w:sz="4" w:space="0" w:color="auto"/>
              <w:right w:val="single" w:sz="4" w:space="0" w:color="auto"/>
            </w:tcBorders>
            <w:shd w:val="clear" w:color="F2F2F2" w:fill="FFE699"/>
            <w:noWrap/>
            <w:vAlign w:val="bottom"/>
            <w:hideMark/>
          </w:tcPr>
          <w:p w14:paraId="3E7DAE07"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single" w:sz="4" w:space="0" w:color="auto"/>
              <w:left w:val="nil"/>
              <w:bottom w:val="single" w:sz="4" w:space="0" w:color="auto"/>
              <w:right w:val="single" w:sz="4" w:space="0" w:color="auto"/>
            </w:tcBorders>
            <w:shd w:val="clear" w:color="F2F2F2" w:fill="FFE699"/>
            <w:noWrap/>
            <w:vAlign w:val="bottom"/>
            <w:hideMark/>
          </w:tcPr>
          <w:p w14:paraId="768A194F"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single" w:sz="4" w:space="0" w:color="auto"/>
              <w:left w:val="nil"/>
              <w:bottom w:val="single" w:sz="4" w:space="0" w:color="auto"/>
              <w:right w:val="single" w:sz="4" w:space="0" w:color="auto"/>
            </w:tcBorders>
            <w:shd w:val="clear" w:color="000000" w:fill="F8CBAD"/>
            <w:noWrap/>
            <w:vAlign w:val="bottom"/>
            <w:hideMark/>
          </w:tcPr>
          <w:p w14:paraId="2AF9D294"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single" w:sz="4" w:space="0" w:color="auto"/>
              <w:left w:val="nil"/>
              <w:bottom w:val="single" w:sz="4" w:space="0" w:color="auto"/>
              <w:right w:val="single" w:sz="4" w:space="0" w:color="auto"/>
            </w:tcBorders>
            <w:shd w:val="clear" w:color="000000" w:fill="FFE699"/>
            <w:noWrap/>
            <w:vAlign w:val="bottom"/>
            <w:hideMark/>
          </w:tcPr>
          <w:p w14:paraId="4D103A60"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9</w:t>
            </w:r>
          </w:p>
        </w:tc>
      </w:tr>
      <w:tr w:rsidR="00E20BBA" w:rsidRPr="00E20BBA" w14:paraId="406FDFDC"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4444D478"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Pawlikowice</w:t>
            </w:r>
          </w:p>
        </w:tc>
        <w:tc>
          <w:tcPr>
            <w:tcW w:w="1417" w:type="dxa"/>
            <w:tcBorders>
              <w:top w:val="nil"/>
              <w:left w:val="nil"/>
              <w:bottom w:val="single" w:sz="4" w:space="0" w:color="auto"/>
              <w:right w:val="single" w:sz="4" w:space="0" w:color="auto"/>
            </w:tcBorders>
            <w:shd w:val="clear" w:color="F2F2F2" w:fill="FFE699"/>
            <w:noWrap/>
            <w:vAlign w:val="bottom"/>
            <w:hideMark/>
          </w:tcPr>
          <w:p w14:paraId="1F97CCC6"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1D9795DC"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5B5CC8CD"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C6E0B4"/>
            <w:noWrap/>
            <w:vAlign w:val="bottom"/>
            <w:hideMark/>
          </w:tcPr>
          <w:p w14:paraId="11903CF0"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657E7C35"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7</w:t>
            </w:r>
          </w:p>
        </w:tc>
      </w:tr>
      <w:tr w:rsidR="00E20BBA" w:rsidRPr="00E20BBA" w14:paraId="58AA223F"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1EEBD643"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Pomarzany</w:t>
            </w:r>
          </w:p>
        </w:tc>
        <w:tc>
          <w:tcPr>
            <w:tcW w:w="1417" w:type="dxa"/>
            <w:tcBorders>
              <w:top w:val="nil"/>
              <w:left w:val="nil"/>
              <w:bottom w:val="single" w:sz="4" w:space="0" w:color="auto"/>
              <w:right w:val="single" w:sz="4" w:space="0" w:color="auto"/>
            </w:tcBorders>
            <w:shd w:val="clear" w:color="F2F2F2" w:fill="FFE699"/>
            <w:noWrap/>
            <w:vAlign w:val="bottom"/>
            <w:hideMark/>
          </w:tcPr>
          <w:p w14:paraId="58878BED"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630FD6CA"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71AFFF76"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C6E0B4"/>
            <w:noWrap/>
            <w:vAlign w:val="bottom"/>
            <w:hideMark/>
          </w:tcPr>
          <w:p w14:paraId="07E84A48"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75765BBC"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7</w:t>
            </w:r>
          </w:p>
        </w:tc>
      </w:tr>
      <w:tr w:rsidR="00E20BBA" w:rsidRPr="00E20BBA" w14:paraId="0ECD4C01"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11F0BAE8"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Suchodoły</w:t>
            </w:r>
          </w:p>
        </w:tc>
        <w:tc>
          <w:tcPr>
            <w:tcW w:w="1417" w:type="dxa"/>
            <w:tcBorders>
              <w:top w:val="nil"/>
              <w:left w:val="nil"/>
              <w:bottom w:val="single" w:sz="4" w:space="0" w:color="auto"/>
              <w:right w:val="single" w:sz="4" w:space="0" w:color="auto"/>
            </w:tcBorders>
            <w:shd w:val="clear" w:color="F2F2F2" w:fill="C6E0B4"/>
            <w:noWrap/>
            <w:vAlign w:val="bottom"/>
            <w:hideMark/>
          </w:tcPr>
          <w:p w14:paraId="5B3F1EF6"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1F93A48D"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8CBAD"/>
            <w:noWrap/>
            <w:vAlign w:val="bottom"/>
            <w:hideMark/>
          </w:tcPr>
          <w:p w14:paraId="7E1C7F40"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C6E0B4"/>
            <w:noWrap/>
            <w:vAlign w:val="bottom"/>
            <w:hideMark/>
          </w:tcPr>
          <w:p w14:paraId="264AA5C6"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18C66996"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7</w:t>
            </w:r>
          </w:p>
        </w:tc>
      </w:tr>
      <w:tr w:rsidR="00E20BBA" w:rsidRPr="00E20BBA" w14:paraId="5CB0B1E6"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74E971CA"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Szubina</w:t>
            </w:r>
          </w:p>
        </w:tc>
        <w:tc>
          <w:tcPr>
            <w:tcW w:w="1417" w:type="dxa"/>
            <w:tcBorders>
              <w:top w:val="nil"/>
              <w:left w:val="nil"/>
              <w:bottom w:val="single" w:sz="4" w:space="0" w:color="auto"/>
              <w:right w:val="single" w:sz="4" w:space="0" w:color="auto"/>
            </w:tcBorders>
            <w:shd w:val="clear" w:color="F2F2F2" w:fill="FFE699"/>
            <w:noWrap/>
            <w:vAlign w:val="bottom"/>
            <w:hideMark/>
          </w:tcPr>
          <w:p w14:paraId="3ABF51C3"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58B07796"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04E895DB"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FE699"/>
            <w:noWrap/>
            <w:vAlign w:val="bottom"/>
            <w:hideMark/>
          </w:tcPr>
          <w:p w14:paraId="69C9964C"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7597D419"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8</w:t>
            </w:r>
          </w:p>
        </w:tc>
      </w:tr>
      <w:tr w:rsidR="00E20BBA" w:rsidRPr="00E20BBA" w14:paraId="43AFB269"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01A5B746"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Szubsk Duży</w:t>
            </w:r>
          </w:p>
        </w:tc>
        <w:tc>
          <w:tcPr>
            <w:tcW w:w="1417" w:type="dxa"/>
            <w:tcBorders>
              <w:top w:val="nil"/>
              <w:left w:val="nil"/>
              <w:bottom w:val="single" w:sz="4" w:space="0" w:color="auto"/>
              <w:right w:val="single" w:sz="4" w:space="0" w:color="auto"/>
            </w:tcBorders>
            <w:shd w:val="clear" w:color="F2F2F2" w:fill="C6E0B4"/>
            <w:noWrap/>
            <w:vAlign w:val="bottom"/>
            <w:hideMark/>
          </w:tcPr>
          <w:p w14:paraId="4D74AF6D"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107ACEE1"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525F4A5B"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FE699"/>
            <w:noWrap/>
            <w:vAlign w:val="bottom"/>
            <w:hideMark/>
          </w:tcPr>
          <w:p w14:paraId="2CB45CE0"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1E5BD2B9"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7</w:t>
            </w:r>
          </w:p>
        </w:tc>
      </w:tr>
      <w:tr w:rsidR="00E20BBA" w:rsidRPr="00E20BBA" w14:paraId="25497DED"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vAlign w:val="bottom"/>
            <w:hideMark/>
          </w:tcPr>
          <w:p w14:paraId="465C509E"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Szubsk Towarzystwo</w:t>
            </w:r>
          </w:p>
        </w:tc>
        <w:tc>
          <w:tcPr>
            <w:tcW w:w="1417" w:type="dxa"/>
            <w:tcBorders>
              <w:top w:val="nil"/>
              <w:left w:val="nil"/>
              <w:bottom w:val="single" w:sz="4" w:space="0" w:color="auto"/>
              <w:right w:val="single" w:sz="4" w:space="0" w:color="auto"/>
            </w:tcBorders>
            <w:shd w:val="clear" w:color="F2F2F2" w:fill="C6E0B4"/>
            <w:noWrap/>
            <w:vAlign w:val="bottom"/>
            <w:hideMark/>
          </w:tcPr>
          <w:p w14:paraId="5E8D9B82"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7993A975"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30D8E88A"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FE699"/>
            <w:noWrap/>
            <w:vAlign w:val="bottom"/>
            <w:hideMark/>
          </w:tcPr>
          <w:p w14:paraId="0C5DB381"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01BC0647"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7</w:t>
            </w:r>
          </w:p>
        </w:tc>
      </w:tr>
      <w:tr w:rsidR="00E20BBA" w:rsidRPr="00E20BBA" w14:paraId="6286C115"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0F70C66B"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Teresin</w:t>
            </w:r>
          </w:p>
        </w:tc>
        <w:tc>
          <w:tcPr>
            <w:tcW w:w="1417" w:type="dxa"/>
            <w:tcBorders>
              <w:top w:val="nil"/>
              <w:left w:val="nil"/>
              <w:bottom w:val="single" w:sz="4" w:space="0" w:color="auto"/>
              <w:right w:val="single" w:sz="4" w:space="0" w:color="auto"/>
            </w:tcBorders>
            <w:shd w:val="clear" w:color="F2F2F2" w:fill="FFE699"/>
            <w:noWrap/>
            <w:vAlign w:val="bottom"/>
            <w:hideMark/>
          </w:tcPr>
          <w:p w14:paraId="7478AEC4"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54D5825F"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1DF76961"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8CBAD"/>
            <w:noWrap/>
            <w:vAlign w:val="bottom"/>
            <w:hideMark/>
          </w:tcPr>
          <w:p w14:paraId="3792732C"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08593D06"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9</w:t>
            </w:r>
          </w:p>
        </w:tc>
      </w:tr>
      <w:tr w:rsidR="00E20BBA" w:rsidRPr="00E20BBA" w14:paraId="18C6CDCE"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66AA1B6B"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Witów</w:t>
            </w:r>
          </w:p>
        </w:tc>
        <w:tc>
          <w:tcPr>
            <w:tcW w:w="1417" w:type="dxa"/>
            <w:tcBorders>
              <w:top w:val="nil"/>
              <w:left w:val="nil"/>
              <w:bottom w:val="single" w:sz="4" w:space="0" w:color="auto"/>
              <w:right w:val="single" w:sz="4" w:space="0" w:color="auto"/>
            </w:tcBorders>
            <w:shd w:val="clear" w:color="F2F2F2" w:fill="FFE699"/>
            <w:noWrap/>
            <w:vAlign w:val="bottom"/>
            <w:hideMark/>
          </w:tcPr>
          <w:p w14:paraId="26EABB14"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1617B4A0"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2679271B"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FE699"/>
            <w:noWrap/>
            <w:vAlign w:val="bottom"/>
            <w:hideMark/>
          </w:tcPr>
          <w:p w14:paraId="10DE0D81"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31B8C769"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8</w:t>
            </w:r>
          </w:p>
        </w:tc>
      </w:tr>
      <w:tr w:rsidR="00E20BBA" w:rsidRPr="00E20BBA" w14:paraId="0C073982"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1DD21654"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Wola Nowska</w:t>
            </w:r>
          </w:p>
        </w:tc>
        <w:tc>
          <w:tcPr>
            <w:tcW w:w="1417" w:type="dxa"/>
            <w:tcBorders>
              <w:top w:val="nil"/>
              <w:left w:val="nil"/>
              <w:bottom w:val="single" w:sz="4" w:space="0" w:color="auto"/>
              <w:right w:val="single" w:sz="4" w:space="0" w:color="auto"/>
            </w:tcBorders>
            <w:shd w:val="clear" w:color="F2F2F2" w:fill="FFE699"/>
            <w:noWrap/>
            <w:vAlign w:val="bottom"/>
            <w:hideMark/>
          </w:tcPr>
          <w:p w14:paraId="1FAF5ABA"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25384C9E"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7BE001F7"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FE699"/>
            <w:noWrap/>
            <w:vAlign w:val="bottom"/>
            <w:hideMark/>
          </w:tcPr>
          <w:p w14:paraId="5BB86640"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4C379977"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8</w:t>
            </w:r>
          </w:p>
        </w:tc>
      </w:tr>
      <w:tr w:rsidR="00E20BBA" w:rsidRPr="00E20BBA" w14:paraId="27EAF299"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0C35EA73"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Wychny</w:t>
            </w:r>
          </w:p>
        </w:tc>
        <w:tc>
          <w:tcPr>
            <w:tcW w:w="1417" w:type="dxa"/>
            <w:tcBorders>
              <w:top w:val="nil"/>
              <w:left w:val="nil"/>
              <w:bottom w:val="single" w:sz="4" w:space="0" w:color="auto"/>
              <w:right w:val="single" w:sz="4" w:space="0" w:color="auto"/>
            </w:tcBorders>
            <w:shd w:val="clear" w:color="F2F2F2" w:fill="C6E0B4"/>
            <w:noWrap/>
            <w:vAlign w:val="bottom"/>
            <w:hideMark/>
          </w:tcPr>
          <w:p w14:paraId="0B6FF66D"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614D735C"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8CBAD"/>
            <w:noWrap/>
            <w:vAlign w:val="bottom"/>
            <w:hideMark/>
          </w:tcPr>
          <w:p w14:paraId="734F805D"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C6E0B4"/>
            <w:noWrap/>
            <w:vAlign w:val="bottom"/>
            <w:hideMark/>
          </w:tcPr>
          <w:p w14:paraId="4BFC57DC"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2AC3784D"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7</w:t>
            </w:r>
          </w:p>
        </w:tc>
      </w:tr>
      <w:tr w:rsidR="00E20BBA" w:rsidRPr="00E20BBA" w14:paraId="58A87E9C"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7B699C23"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Wymysłów</w:t>
            </w:r>
          </w:p>
        </w:tc>
        <w:tc>
          <w:tcPr>
            <w:tcW w:w="1417" w:type="dxa"/>
            <w:tcBorders>
              <w:top w:val="nil"/>
              <w:left w:val="nil"/>
              <w:bottom w:val="single" w:sz="4" w:space="0" w:color="auto"/>
              <w:right w:val="single" w:sz="4" w:space="0" w:color="auto"/>
            </w:tcBorders>
            <w:shd w:val="clear" w:color="F2F2F2" w:fill="C6E0B4"/>
            <w:noWrap/>
            <w:vAlign w:val="bottom"/>
            <w:hideMark/>
          </w:tcPr>
          <w:p w14:paraId="1D97F2A3"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69441DDF"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753AD8DD"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C6E0B4"/>
            <w:noWrap/>
            <w:vAlign w:val="bottom"/>
            <w:hideMark/>
          </w:tcPr>
          <w:p w14:paraId="6D9E82DB"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C6E0B4"/>
            <w:noWrap/>
            <w:vAlign w:val="bottom"/>
            <w:hideMark/>
          </w:tcPr>
          <w:p w14:paraId="750EED0A"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6</w:t>
            </w:r>
          </w:p>
        </w:tc>
      </w:tr>
      <w:tr w:rsidR="00E20BBA" w:rsidRPr="00E20BBA" w14:paraId="33951608"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530E08C1"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Zalesie</w:t>
            </w:r>
          </w:p>
        </w:tc>
        <w:tc>
          <w:tcPr>
            <w:tcW w:w="1417" w:type="dxa"/>
            <w:tcBorders>
              <w:top w:val="nil"/>
              <w:left w:val="nil"/>
              <w:bottom w:val="single" w:sz="4" w:space="0" w:color="auto"/>
              <w:right w:val="single" w:sz="4" w:space="0" w:color="auto"/>
            </w:tcBorders>
            <w:shd w:val="clear" w:color="F2F2F2" w:fill="C6E0B4"/>
            <w:noWrap/>
            <w:vAlign w:val="bottom"/>
            <w:hideMark/>
          </w:tcPr>
          <w:p w14:paraId="5C72A509"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35322AB4"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609D0C76"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FE699"/>
            <w:noWrap/>
            <w:vAlign w:val="bottom"/>
            <w:hideMark/>
          </w:tcPr>
          <w:p w14:paraId="03F3F93E"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41AD61FE"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7</w:t>
            </w:r>
          </w:p>
        </w:tc>
      </w:tr>
      <w:tr w:rsidR="00E20BBA" w:rsidRPr="00E20BBA" w14:paraId="7FB591E1" w14:textId="77777777" w:rsidTr="00CD5958">
        <w:trPr>
          <w:trHeight w:val="290"/>
        </w:trPr>
        <w:tc>
          <w:tcPr>
            <w:tcW w:w="3828" w:type="dxa"/>
            <w:tcBorders>
              <w:top w:val="nil"/>
              <w:left w:val="single" w:sz="4" w:space="0" w:color="auto"/>
              <w:bottom w:val="single" w:sz="4" w:space="0" w:color="auto"/>
              <w:right w:val="single" w:sz="4" w:space="0" w:color="auto"/>
            </w:tcBorders>
            <w:shd w:val="clear" w:color="F2F2F2" w:fill="FFFFFF"/>
            <w:noWrap/>
            <w:vAlign w:val="bottom"/>
            <w:hideMark/>
          </w:tcPr>
          <w:p w14:paraId="797AF2B1"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Sołectwo Zieleniew</w:t>
            </w:r>
          </w:p>
        </w:tc>
        <w:tc>
          <w:tcPr>
            <w:tcW w:w="1417" w:type="dxa"/>
            <w:tcBorders>
              <w:top w:val="nil"/>
              <w:left w:val="nil"/>
              <w:bottom w:val="single" w:sz="4" w:space="0" w:color="auto"/>
              <w:right w:val="single" w:sz="4" w:space="0" w:color="auto"/>
            </w:tcBorders>
            <w:shd w:val="clear" w:color="F2F2F2" w:fill="FFE699"/>
            <w:noWrap/>
            <w:vAlign w:val="bottom"/>
            <w:hideMark/>
          </w:tcPr>
          <w:p w14:paraId="7CBD5C92"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F2F2F2" w:fill="FFE699"/>
            <w:noWrap/>
            <w:vAlign w:val="bottom"/>
            <w:hideMark/>
          </w:tcPr>
          <w:p w14:paraId="07953904"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F2F2F2" w:fill="FFE699"/>
            <w:noWrap/>
            <w:vAlign w:val="bottom"/>
            <w:hideMark/>
          </w:tcPr>
          <w:p w14:paraId="02B8F831"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C6E0B4"/>
            <w:noWrap/>
            <w:vAlign w:val="bottom"/>
            <w:hideMark/>
          </w:tcPr>
          <w:p w14:paraId="0D1629F3"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265400F6"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7</w:t>
            </w:r>
          </w:p>
        </w:tc>
      </w:tr>
      <w:tr w:rsidR="00E20BBA" w:rsidRPr="00E20BBA" w14:paraId="439E0A2E" w14:textId="77777777" w:rsidTr="00CD5958">
        <w:trPr>
          <w:trHeight w:val="285"/>
        </w:trPr>
        <w:tc>
          <w:tcPr>
            <w:tcW w:w="3828" w:type="dxa"/>
            <w:tcBorders>
              <w:top w:val="nil"/>
              <w:left w:val="nil"/>
              <w:bottom w:val="nil"/>
              <w:right w:val="nil"/>
            </w:tcBorders>
            <w:noWrap/>
            <w:vAlign w:val="bottom"/>
            <w:hideMark/>
          </w:tcPr>
          <w:p w14:paraId="73AA625A"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p>
        </w:tc>
        <w:tc>
          <w:tcPr>
            <w:tcW w:w="1417" w:type="dxa"/>
            <w:tcBorders>
              <w:top w:val="nil"/>
              <w:left w:val="nil"/>
              <w:bottom w:val="nil"/>
              <w:right w:val="nil"/>
            </w:tcBorders>
            <w:noWrap/>
            <w:vAlign w:val="bottom"/>
            <w:hideMark/>
          </w:tcPr>
          <w:p w14:paraId="6A8C17CB" w14:textId="77777777" w:rsidR="00E20BBA" w:rsidRPr="00E20BBA" w:rsidRDefault="00E20BBA" w:rsidP="00E20BBA">
            <w:pPr>
              <w:suppressAutoHyphens w:val="0"/>
              <w:autoSpaceDN/>
              <w:spacing w:after="0"/>
              <w:textAlignment w:val="auto"/>
              <w:rPr>
                <w:rFonts w:ascii="Times New Roman" w:eastAsia="Times New Roman" w:hAnsi="Times New Roman"/>
                <w:lang w:eastAsia="pl-PL"/>
              </w:rPr>
            </w:pPr>
          </w:p>
        </w:tc>
        <w:tc>
          <w:tcPr>
            <w:tcW w:w="1438" w:type="dxa"/>
            <w:tcBorders>
              <w:top w:val="nil"/>
              <w:left w:val="nil"/>
              <w:bottom w:val="nil"/>
              <w:right w:val="nil"/>
            </w:tcBorders>
            <w:noWrap/>
            <w:vAlign w:val="bottom"/>
            <w:hideMark/>
          </w:tcPr>
          <w:p w14:paraId="1B79C5C1" w14:textId="77777777" w:rsidR="00E20BBA" w:rsidRPr="00E20BBA" w:rsidRDefault="00E20BBA" w:rsidP="00E20BBA">
            <w:pPr>
              <w:suppressAutoHyphens w:val="0"/>
              <w:autoSpaceDN/>
              <w:spacing w:after="0"/>
              <w:textAlignment w:val="auto"/>
              <w:rPr>
                <w:rFonts w:ascii="Times New Roman" w:eastAsia="Times New Roman" w:hAnsi="Times New Roman"/>
                <w:lang w:eastAsia="pl-PL"/>
              </w:rPr>
            </w:pPr>
          </w:p>
        </w:tc>
        <w:tc>
          <w:tcPr>
            <w:tcW w:w="1255" w:type="dxa"/>
            <w:tcBorders>
              <w:top w:val="nil"/>
              <w:left w:val="nil"/>
              <w:bottom w:val="nil"/>
              <w:right w:val="nil"/>
            </w:tcBorders>
            <w:noWrap/>
            <w:vAlign w:val="bottom"/>
            <w:hideMark/>
          </w:tcPr>
          <w:p w14:paraId="29A42C05" w14:textId="77777777" w:rsidR="00E20BBA" w:rsidRPr="00E20BBA" w:rsidRDefault="00E20BBA" w:rsidP="00E20BBA">
            <w:pPr>
              <w:suppressAutoHyphens w:val="0"/>
              <w:autoSpaceDN/>
              <w:spacing w:after="0"/>
              <w:textAlignment w:val="auto"/>
              <w:rPr>
                <w:rFonts w:ascii="Times New Roman" w:eastAsia="Times New Roman" w:hAnsi="Times New Roman"/>
                <w:lang w:eastAsia="pl-PL"/>
              </w:rPr>
            </w:pPr>
          </w:p>
        </w:tc>
        <w:tc>
          <w:tcPr>
            <w:tcW w:w="1418" w:type="dxa"/>
            <w:tcBorders>
              <w:top w:val="nil"/>
              <w:left w:val="nil"/>
              <w:bottom w:val="nil"/>
              <w:right w:val="nil"/>
            </w:tcBorders>
            <w:noWrap/>
            <w:vAlign w:val="bottom"/>
            <w:hideMark/>
          </w:tcPr>
          <w:p w14:paraId="1A398A6B" w14:textId="77777777" w:rsidR="00E20BBA" w:rsidRPr="00E20BBA" w:rsidRDefault="00E20BBA" w:rsidP="00E20BBA">
            <w:pPr>
              <w:suppressAutoHyphens w:val="0"/>
              <w:autoSpaceDN/>
              <w:spacing w:after="0"/>
              <w:textAlignment w:val="auto"/>
              <w:rPr>
                <w:rFonts w:ascii="Times New Roman" w:eastAsia="Times New Roman" w:hAnsi="Times New Roman"/>
                <w:lang w:eastAsia="pl-PL"/>
              </w:rPr>
            </w:pPr>
          </w:p>
        </w:tc>
        <w:tc>
          <w:tcPr>
            <w:tcW w:w="1559" w:type="dxa"/>
            <w:tcBorders>
              <w:top w:val="nil"/>
              <w:left w:val="nil"/>
              <w:bottom w:val="nil"/>
              <w:right w:val="nil"/>
            </w:tcBorders>
            <w:noWrap/>
            <w:vAlign w:val="bottom"/>
            <w:hideMark/>
          </w:tcPr>
          <w:p w14:paraId="2C7FF31A" w14:textId="77777777" w:rsidR="00E20BBA" w:rsidRPr="00E20BBA" w:rsidRDefault="00E20BBA" w:rsidP="00E20BBA">
            <w:pPr>
              <w:suppressAutoHyphens w:val="0"/>
              <w:autoSpaceDN/>
              <w:spacing w:after="0"/>
              <w:textAlignment w:val="auto"/>
              <w:rPr>
                <w:rFonts w:ascii="Times New Roman" w:eastAsia="Times New Roman" w:hAnsi="Times New Roman"/>
                <w:lang w:eastAsia="pl-PL"/>
              </w:rPr>
            </w:pPr>
          </w:p>
        </w:tc>
      </w:tr>
      <w:tr w:rsidR="00E20BBA" w:rsidRPr="00E20BBA" w14:paraId="3E865865" w14:textId="77777777" w:rsidTr="00CD5958">
        <w:trPr>
          <w:trHeight w:val="285"/>
        </w:trPr>
        <w:tc>
          <w:tcPr>
            <w:tcW w:w="3828" w:type="dxa"/>
            <w:tcBorders>
              <w:top w:val="single" w:sz="4" w:space="0" w:color="auto"/>
              <w:left w:val="single" w:sz="4" w:space="0" w:color="auto"/>
              <w:bottom w:val="single" w:sz="4" w:space="0" w:color="auto"/>
              <w:right w:val="nil"/>
            </w:tcBorders>
            <w:vAlign w:val="center"/>
            <w:hideMark/>
          </w:tcPr>
          <w:p w14:paraId="20F96978"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Średnia</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B4FE382"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single" w:sz="4" w:space="0" w:color="auto"/>
              <w:left w:val="nil"/>
              <w:bottom w:val="single" w:sz="4" w:space="0" w:color="auto"/>
              <w:right w:val="single" w:sz="4" w:space="0" w:color="auto"/>
            </w:tcBorders>
            <w:noWrap/>
            <w:vAlign w:val="bottom"/>
            <w:hideMark/>
          </w:tcPr>
          <w:p w14:paraId="62D7AD91"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single" w:sz="4" w:space="0" w:color="auto"/>
              <w:left w:val="nil"/>
              <w:bottom w:val="single" w:sz="4" w:space="0" w:color="auto"/>
              <w:right w:val="single" w:sz="4" w:space="0" w:color="auto"/>
            </w:tcBorders>
            <w:noWrap/>
            <w:vAlign w:val="bottom"/>
            <w:hideMark/>
          </w:tcPr>
          <w:p w14:paraId="072A8E7D"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single" w:sz="4" w:space="0" w:color="auto"/>
              <w:left w:val="nil"/>
              <w:bottom w:val="single" w:sz="4" w:space="0" w:color="auto"/>
              <w:right w:val="single" w:sz="4" w:space="0" w:color="auto"/>
            </w:tcBorders>
            <w:noWrap/>
            <w:vAlign w:val="bottom"/>
            <w:hideMark/>
          </w:tcPr>
          <w:p w14:paraId="06A8F9BA"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single" w:sz="4" w:space="0" w:color="auto"/>
              <w:left w:val="nil"/>
              <w:bottom w:val="single" w:sz="4" w:space="0" w:color="auto"/>
              <w:right w:val="single" w:sz="4" w:space="0" w:color="auto"/>
            </w:tcBorders>
            <w:noWrap/>
            <w:vAlign w:val="bottom"/>
            <w:hideMark/>
          </w:tcPr>
          <w:p w14:paraId="1B80FD69" w14:textId="1E04BD2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8</w:t>
            </w:r>
          </w:p>
        </w:tc>
      </w:tr>
      <w:tr w:rsidR="00CD5958" w:rsidRPr="00E20BBA" w14:paraId="55A25C8D" w14:textId="77777777" w:rsidTr="00CD5958">
        <w:trPr>
          <w:trHeight w:val="285"/>
        </w:trPr>
        <w:tc>
          <w:tcPr>
            <w:tcW w:w="3828" w:type="dxa"/>
            <w:tcBorders>
              <w:top w:val="single" w:sz="4" w:space="0" w:color="auto"/>
              <w:left w:val="single" w:sz="4" w:space="0" w:color="auto"/>
              <w:bottom w:val="single" w:sz="4" w:space="0" w:color="auto"/>
              <w:right w:val="single" w:sz="4" w:space="0" w:color="auto"/>
            </w:tcBorders>
            <w:vAlign w:val="center"/>
            <w:hideMark/>
          </w:tcPr>
          <w:p w14:paraId="42F9FDD2"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xml:space="preserve">Przedział średniej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8B470C"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single" w:sz="4" w:space="0" w:color="auto"/>
              <w:left w:val="nil"/>
              <w:bottom w:val="single" w:sz="4" w:space="0" w:color="auto"/>
              <w:right w:val="single" w:sz="4" w:space="0" w:color="auto"/>
            </w:tcBorders>
            <w:vAlign w:val="center"/>
            <w:hideMark/>
          </w:tcPr>
          <w:p w14:paraId="79313E18"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single" w:sz="4" w:space="0" w:color="auto"/>
              <w:left w:val="nil"/>
              <w:bottom w:val="single" w:sz="4" w:space="0" w:color="auto"/>
              <w:right w:val="single" w:sz="4" w:space="0" w:color="auto"/>
            </w:tcBorders>
            <w:vAlign w:val="center"/>
            <w:hideMark/>
          </w:tcPr>
          <w:p w14:paraId="71281B66"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single" w:sz="4" w:space="0" w:color="auto"/>
              <w:left w:val="nil"/>
              <w:bottom w:val="single" w:sz="4" w:space="0" w:color="auto"/>
              <w:right w:val="single" w:sz="4" w:space="0" w:color="auto"/>
            </w:tcBorders>
            <w:vAlign w:val="center"/>
            <w:hideMark/>
          </w:tcPr>
          <w:p w14:paraId="2AAFFB7C"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single" w:sz="4" w:space="0" w:color="auto"/>
              <w:left w:val="nil"/>
              <w:bottom w:val="single" w:sz="4" w:space="0" w:color="auto"/>
              <w:right w:val="single" w:sz="4" w:space="0" w:color="auto"/>
            </w:tcBorders>
            <w:vAlign w:val="center"/>
            <w:hideMark/>
          </w:tcPr>
          <w:p w14:paraId="3C4F9F63"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7-8.</w:t>
            </w:r>
          </w:p>
        </w:tc>
      </w:tr>
      <w:tr w:rsidR="00E20BBA" w:rsidRPr="00E20BBA" w14:paraId="51818C24" w14:textId="77777777" w:rsidTr="00CD5958">
        <w:trPr>
          <w:trHeight w:val="285"/>
        </w:trPr>
        <w:tc>
          <w:tcPr>
            <w:tcW w:w="382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0C560EB"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Wartość minimalna do korelacji</w:t>
            </w:r>
          </w:p>
        </w:tc>
        <w:tc>
          <w:tcPr>
            <w:tcW w:w="1417" w:type="dxa"/>
            <w:tcBorders>
              <w:top w:val="nil"/>
              <w:left w:val="single" w:sz="4" w:space="0" w:color="auto"/>
              <w:bottom w:val="single" w:sz="4" w:space="0" w:color="auto"/>
              <w:right w:val="single" w:sz="4" w:space="0" w:color="auto"/>
            </w:tcBorders>
            <w:shd w:val="clear" w:color="000000" w:fill="E7E6E6"/>
            <w:vAlign w:val="bottom"/>
            <w:hideMark/>
          </w:tcPr>
          <w:p w14:paraId="3F23ED17"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000000" w:fill="E7E6E6"/>
            <w:vAlign w:val="bottom"/>
            <w:hideMark/>
          </w:tcPr>
          <w:p w14:paraId="604B5D66"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000000" w:fill="E7E6E6"/>
            <w:vAlign w:val="bottom"/>
            <w:hideMark/>
          </w:tcPr>
          <w:p w14:paraId="464B0E49"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E7E6E6"/>
            <w:vAlign w:val="bottom"/>
            <w:hideMark/>
          </w:tcPr>
          <w:p w14:paraId="486FE681"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E7E6E6"/>
            <w:vAlign w:val="bottom"/>
            <w:hideMark/>
          </w:tcPr>
          <w:p w14:paraId="07EAB07E"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0,80</w:t>
            </w:r>
          </w:p>
        </w:tc>
      </w:tr>
      <w:tr w:rsidR="00E20BBA" w:rsidRPr="00E20BBA" w14:paraId="61F4B7D2" w14:textId="77777777" w:rsidTr="00CD5958">
        <w:trPr>
          <w:trHeight w:val="285"/>
        </w:trPr>
        <w:tc>
          <w:tcPr>
            <w:tcW w:w="3828" w:type="dxa"/>
            <w:tcBorders>
              <w:top w:val="nil"/>
              <w:left w:val="single" w:sz="4" w:space="0" w:color="auto"/>
              <w:bottom w:val="single" w:sz="4" w:space="0" w:color="auto"/>
              <w:right w:val="nil"/>
            </w:tcBorders>
            <w:shd w:val="clear" w:color="000000" w:fill="E7E6E6"/>
            <w:vAlign w:val="bottom"/>
            <w:hideMark/>
          </w:tcPr>
          <w:p w14:paraId="71EA2E05"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Wartość maksymalna do korelacji</w:t>
            </w:r>
          </w:p>
        </w:tc>
        <w:tc>
          <w:tcPr>
            <w:tcW w:w="1417" w:type="dxa"/>
            <w:tcBorders>
              <w:top w:val="nil"/>
              <w:left w:val="single" w:sz="4" w:space="0" w:color="auto"/>
              <w:bottom w:val="single" w:sz="4" w:space="0" w:color="auto"/>
              <w:right w:val="single" w:sz="4" w:space="0" w:color="auto"/>
            </w:tcBorders>
            <w:shd w:val="clear" w:color="000000" w:fill="E7E6E6"/>
            <w:vAlign w:val="bottom"/>
            <w:hideMark/>
          </w:tcPr>
          <w:p w14:paraId="3FF47A11"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000000" w:fill="E7E6E6"/>
            <w:vAlign w:val="bottom"/>
            <w:hideMark/>
          </w:tcPr>
          <w:p w14:paraId="20FBA895"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000000" w:fill="E7E6E6"/>
            <w:vAlign w:val="bottom"/>
            <w:hideMark/>
          </w:tcPr>
          <w:p w14:paraId="717F1DC3"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E7E6E6"/>
            <w:vAlign w:val="bottom"/>
            <w:hideMark/>
          </w:tcPr>
          <w:p w14:paraId="34A5C68A"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E7E6E6"/>
            <w:vAlign w:val="bottom"/>
            <w:hideMark/>
          </w:tcPr>
          <w:p w14:paraId="56BE69FB" w14:textId="77777777" w:rsidR="00E20BBA" w:rsidRPr="00E20BBA" w:rsidRDefault="00E20BBA" w:rsidP="00E20BBA">
            <w:pPr>
              <w:suppressAutoHyphens w:val="0"/>
              <w:autoSpaceDN/>
              <w:spacing w:after="0"/>
              <w:jc w:val="right"/>
              <w:textAlignment w:val="auto"/>
              <w:rPr>
                <w:rFonts w:eastAsia="Times New Roman" w:cs="Calibri"/>
                <w:color w:val="000000"/>
                <w:lang w:eastAsia="pl-PL"/>
              </w:rPr>
            </w:pPr>
            <w:r w:rsidRPr="00E20BBA">
              <w:rPr>
                <w:rFonts w:eastAsia="Times New Roman" w:cs="Calibri"/>
                <w:color w:val="000000"/>
                <w:lang w:eastAsia="pl-PL"/>
              </w:rPr>
              <w:t>0,96</w:t>
            </w:r>
          </w:p>
        </w:tc>
      </w:tr>
      <w:tr w:rsidR="00E20BBA" w:rsidRPr="00E20BBA" w14:paraId="2350E6AB" w14:textId="77777777" w:rsidTr="00CD5958">
        <w:trPr>
          <w:trHeight w:val="285"/>
        </w:trPr>
        <w:tc>
          <w:tcPr>
            <w:tcW w:w="3828" w:type="dxa"/>
            <w:tcBorders>
              <w:top w:val="nil"/>
              <w:left w:val="single" w:sz="4" w:space="0" w:color="auto"/>
              <w:bottom w:val="single" w:sz="4" w:space="0" w:color="auto"/>
              <w:right w:val="nil"/>
            </w:tcBorders>
            <w:shd w:val="clear" w:color="000000" w:fill="FFFFFF"/>
            <w:vAlign w:val="center"/>
            <w:hideMark/>
          </w:tcPr>
          <w:p w14:paraId="043CD3E0"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Minimalny przedział wartości ujemnej</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2C98F106"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438" w:type="dxa"/>
            <w:tcBorders>
              <w:top w:val="nil"/>
              <w:left w:val="nil"/>
              <w:bottom w:val="single" w:sz="4" w:space="0" w:color="auto"/>
              <w:right w:val="single" w:sz="4" w:space="0" w:color="auto"/>
            </w:tcBorders>
            <w:shd w:val="clear" w:color="000000" w:fill="FFFFFF"/>
            <w:noWrap/>
            <w:vAlign w:val="bottom"/>
            <w:hideMark/>
          </w:tcPr>
          <w:p w14:paraId="026332F3"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255" w:type="dxa"/>
            <w:tcBorders>
              <w:top w:val="nil"/>
              <w:left w:val="nil"/>
              <w:bottom w:val="single" w:sz="4" w:space="0" w:color="auto"/>
              <w:right w:val="single" w:sz="4" w:space="0" w:color="auto"/>
            </w:tcBorders>
            <w:shd w:val="clear" w:color="000000" w:fill="FFFFFF"/>
            <w:noWrap/>
            <w:vAlign w:val="bottom"/>
            <w:hideMark/>
          </w:tcPr>
          <w:p w14:paraId="32A6377F"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DABC4DA"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559" w:type="dxa"/>
            <w:tcBorders>
              <w:top w:val="nil"/>
              <w:left w:val="nil"/>
              <w:bottom w:val="single" w:sz="4" w:space="0" w:color="auto"/>
              <w:right w:val="single" w:sz="4" w:space="0" w:color="auto"/>
            </w:tcBorders>
            <w:shd w:val="clear" w:color="000000" w:fill="FFFFFF"/>
            <w:noWrap/>
            <w:vAlign w:val="bottom"/>
            <w:hideMark/>
          </w:tcPr>
          <w:p w14:paraId="31ABB524"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7,20</w:t>
            </w:r>
          </w:p>
        </w:tc>
      </w:tr>
      <w:tr w:rsidR="00E20BBA" w:rsidRPr="00E20BBA" w14:paraId="076C0D9A" w14:textId="77777777" w:rsidTr="00CD5958">
        <w:trPr>
          <w:trHeight w:val="285"/>
        </w:trPr>
        <w:tc>
          <w:tcPr>
            <w:tcW w:w="3828" w:type="dxa"/>
            <w:tcBorders>
              <w:top w:val="nil"/>
              <w:left w:val="single" w:sz="4" w:space="0" w:color="auto"/>
              <w:bottom w:val="single" w:sz="4" w:space="0" w:color="auto"/>
              <w:right w:val="nil"/>
            </w:tcBorders>
            <w:shd w:val="clear" w:color="000000" w:fill="FFFFFF"/>
            <w:vAlign w:val="bottom"/>
            <w:hideMark/>
          </w:tcPr>
          <w:p w14:paraId="71ADF79F"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Maksymalny przedział wartości ujemnej</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3A01963C"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438" w:type="dxa"/>
            <w:tcBorders>
              <w:top w:val="nil"/>
              <w:left w:val="nil"/>
              <w:bottom w:val="single" w:sz="4" w:space="0" w:color="auto"/>
              <w:right w:val="single" w:sz="4" w:space="0" w:color="auto"/>
            </w:tcBorders>
            <w:shd w:val="clear" w:color="000000" w:fill="FFFFFF"/>
            <w:noWrap/>
            <w:vAlign w:val="bottom"/>
            <w:hideMark/>
          </w:tcPr>
          <w:p w14:paraId="69ED3EDB"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255" w:type="dxa"/>
            <w:tcBorders>
              <w:top w:val="nil"/>
              <w:left w:val="nil"/>
              <w:bottom w:val="single" w:sz="4" w:space="0" w:color="auto"/>
              <w:right w:val="single" w:sz="4" w:space="0" w:color="auto"/>
            </w:tcBorders>
            <w:shd w:val="clear" w:color="000000" w:fill="FFFFFF"/>
            <w:noWrap/>
            <w:vAlign w:val="bottom"/>
            <w:hideMark/>
          </w:tcPr>
          <w:p w14:paraId="4D914734"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9656217"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559" w:type="dxa"/>
            <w:tcBorders>
              <w:top w:val="nil"/>
              <w:left w:val="nil"/>
              <w:bottom w:val="single" w:sz="4" w:space="0" w:color="auto"/>
              <w:right w:val="single" w:sz="4" w:space="0" w:color="auto"/>
            </w:tcBorders>
            <w:shd w:val="clear" w:color="000000" w:fill="FFFFFF"/>
            <w:noWrap/>
            <w:vAlign w:val="bottom"/>
            <w:hideMark/>
          </w:tcPr>
          <w:p w14:paraId="21710225"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7,04</w:t>
            </w:r>
          </w:p>
        </w:tc>
      </w:tr>
      <w:tr w:rsidR="00E20BBA" w:rsidRPr="00E20BBA" w14:paraId="4D028C89" w14:textId="77777777" w:rsidTr="00CD5958">
        <w:trPr>
          <w:trHeight w:val="285"/>
        </w:trPr>
        <w:tc>
          <w:tcPr>
            <w:tcW w:w="3828" w:type="dxa"/>
            <w:tcBorders>
              <w:top w:val="nil"/>
              <w:left w:val="single" w:sz="4" w:space="0" w:color="auto"/>
              <w:bottom w:val="single" w:sz="4" w:space="0" w:color="auto"/>
              <w:right w:val="nil"/>
            </w:tcBorders>
            <w:shd w:val="clear" w:color="000000" w:fill="FFFFFF"/>
            <w:vAlign w:val="bottom"/>
            <w:hideMark/>
          </w:tcPr>
          <w:p w14:paraId="57527D59"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Minimalny przedział wartości dodatniej</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129FA636"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438" w:type="dxa"/>
            <w:tcBorders>
              <w:top w:val="nil"/>
              <w:left w:val="nil"/>
              <w:bottom w:val="single" w:sz="4" w:space="0" w:color="auto"/>
              <w:right w:val="single" w:sz="4" w:space="0" w:color="auto"/>
            </w:tcBorders>
            <w:shd w:val="clear" w:color="000000" w:fill="FFFFFF"/>
            <w:noWrap/>
            <w:vAlign w:val="bottom"/>
            <w:hideMark/>
          </w:tcPr>
          <w:p w14:paraId="11B82828"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255" w:type="dxa"/>
            <w:tcBorders>
              <w:top w:val="nil"/>
              <w:left w:val="nil"/>
              <w:bottom w:val="single" w:sz="4" w:space="0" w:color="auto"/>
              <w:right w:val="single" w:sz="4" w:space="0" w:color="auto"/>
            </w:tcBorders>
            <w:shd w:val="clear" w:color="000000" w:fill="FFFFFF"/>
            <w:noWrap/>
            <w:vAlign w:val="bottom"/>
            <w:hideMark/>
          </w:tcPr>
          <w:p w14:paraId="60E94565"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0181CBD"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559" w:type="dxa"/>
            <w:tcBorders>
              <w:top w:val="nil"/>
              <w:left w:val="nil"/>
              <w:bottom w:val="single" w:sz="4" w:space="0" w:color="auto"/>
              <w:right w:val="single" w:sz="4" w:space="0" w:color="auto"/>
            </w:tcBorders>
            <w:shd w:val="clear" w:color="000000" w:fill="FFFFFF"/>
            <w:noWrap/>
            <w:vAlign w:val="bottom"/>
            <w:hideMark/>
          </w:tcPr>
          <w:p w14:paraId="681371D3"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8,80</w:t>
            </w:r>
          </w:p>
        </w:tc>
      </w:tr>
      <w:tr w:rsidR="00E20BBA" w:rsidRPr="00E20BBA" w14:paraId="52462CAA" w14:textId="77777777" w:rsidTr="00CD5958">
        <w:trPr>
          <w:trHeight w:val="285"/>
        </w:trPr>
        <w:tc>
          <w:tcPr>
            <w:tcW w:w="3828" w:type="dxa"/>
            <w:tcBorders>
              <w:top w:val="nil"/>
              <w:left w:val="single" w:sz="4" w:space="0" w:color="auto"/>
              <w:bottom w:val="single" w:sz="4" w:space="0" w:color="auto"/>
              <w:right w:val="nil"/>
            </w:tcBorders>
            <w:shd w:val="clear" w:color="000000" w:fill="FFFFFF"/>
            <w:vAlign w:val="bottom"/>
            <w:hideMark/>
          </w:tcPr>
          <w:p w14:paraId="75D63849"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sz w:val="20"/>
                <w:szCs w:val="20"/>
                <w:lang w:eastAsia="pl-PL"/>
              </w:rPr>
              <w:t>Maksymalny przedział wartości dodatniej</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363A4487"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438" w:type="dxa"/>
            <w:tcBorders>
              <w:top w:val="nil"/>
              <w:left w:val="nil"/>
              <w:bottom w:val="single" w:sz="4" w:space="0" w:color="auto"/>
              <w:right w:val="single" w:sz="4" w:space="0" w:color="auto"/>
            </w:tcBorders>
            <w:shd w:val="clear" w:color="000000" w:fill="FFFFFF"/>
            <w:noWrap/>
            <w:vAlign w:val="bottom"/>
            <w:hideMark/>
          </w:tcPr>
          <w:p w14:paraId="7463BA31"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255" w:type="dxa"/>
            <w:tcBorders>
              <w:top w:val="nil"/>
              <w:left w:val="nil"/>
              <w:bottom w:val="single" w:sz="4" w:space="0" w:color="auto"/>
              <w:right w:val="single" w:sz="4" w:space="0" w:color="auto"/>
            </w:tcBorders>
            <w:shd w:val="clear" w:color="000000" w:fill="FFFFFF"/>
            <w:noWrap/>
            <w:vAlign w:val="bottom"/>
            <w:hideMark/>
          </w:tcPr>
          <w:p w14:paraId="30EAF11F"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0310DE6"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 </w:t>
            </w:r>
          </w:p>
        </w:tc>
        <w:tc>
          <w:tcPr>
            <w:tcW w:w="1559" w:type="dxa"/>
            <w:tcBorders>
              <w:top w:val="nil"/>
              <w:left w:val="nil"/>
              <w:bottom w:val="single" w:sz="4" w:space="0" w:color="auto"/>
              <w:right w:val="single" w:sz="4" w:space="0" w:color="auto"/>
            </w:tcBorders>
            <w:shd w:val="clear" w:color="000000" w:fill="FFFFFF"/>
            <w:noWrap/>
            <w:vAlign w:val="bottom"/>
            <w:hideMark/>
          </w:tcPr>
          <w:p w14:paraId="34EF1004" w14:textId="77777777" w:rsidR="00E20BBA" w:rsidRPr="00E20BBA" w:rsidRDefault="00E20BBA" w:rsidP="00E20BBA">
            <w:pPr>
              <w:suppressAutoHyphens w:val="0"/>
              <w:autoSpaceDN/>
              <w:spacing w:after="0"/>
              <w:jc w:val="right"/>
              <w:textAlignment w:val="auto"/>
              <w:rPr>
                <w:rFonts w:eastAsia="Times New Roman" w:cs="Calibri"/>
                <w:lang w:eastAsia="pl-PL"/>
              </w:rPr>
            </w:pPr>
            <w:r w:rsidRPr="00E20BBA">
              <w:rPr>
                <w:rFonts w:eastAsia="Times New Roman" w:cs="Calibri"/>
                <w:lang w:eastAsia="pl-PL"/>
              </w:rPr>
              <w:t>8,96</w:t>
            </w:r>
          </w:p>
        </w:tc>
      </w:tr>
      <w:tr w:rsidR="00E20BBA" w:rsidRPr="00E20BBA" w14:paraId="52C042AC" w14:textId="77777777" w:rsidTr="00CD5958">
        <w:trPr>
          <w:trHeight w:val="285"/>
        </w:trPr>
        <w:tc>
          <w:tcPr>
            <w:tcW w:w="3828" w:type="dxa"/>
            <w:tcBorders>
              <w:top w:val="nil"/>
              <w:left w:val="single" w:sz="4" w:space="0" w:color="auto"/>
              <w:bottom w:val="single" w:sz="4" w:space="0" w:color="auto"/>
              <w:right w:val="nil"/>
            </w:tcBorders>
            <w:shd w:val="clear" w:color="000000" w:fill="C6E0B4"/>
            <w:vAlign w:val="center"/>
            <w:hideMark/>
          </w:tcPr>
          <w:p w14:paraId="692C4CF9"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xml:space="preserve">Poniżej średniej </w:t>
            </w:r>
          </w:p>
        </w:tc>
        <w:tc>
          <w:tcPr>
            <w:tcW w:w="1417" w:type="dxa"/>
            <w:tcBorders>
              <w:top w:val="nil"/>
              <w:left w:val="single" w:sz="4" w:space="0" w:color="auto"/>
              <w:bottom w:val="single" w:sz="4" w:space="0" w:color="auto"/>
              <w:right w:val="single" w:sz="4" w:space="0" w:color="auto"/>
            </w:tcBorders>
            <w:shd w:val="clear" w:color="000000" w:fill="C6E0B4"/>
            <w:vAlign w:val="bottom"/>
            <w:hideMark/>
          </w:tcPr>
          <w:p w14:paraId="6391D6C7"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000000" w:fill="C6E0B4"/>
            <w:vAlign w:val="bottom"/>
            <w:hideMark/>
          </w:tcPr>
          <w:p w14:paraId="6CE986D4"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000000" w:fill="C6E0B4"/>
            <w:vAlign w:val="bottom"/>
            <w:hideMark/>
          </w:tcPr>
          <w:p w14:paraId="55E65A7E"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C6E0B4"/>
            <w:vAlign w:val="bottom"/>
            <w:hideMark/>
          </w:tcPr>
          <w:p w14:paraId="012A67C6"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C6E0B4"/>
            <w:vAlign w:val="bottom"/>
            <w:hideMark/>
          </w:tcPr>
          <w:p w14:paraId="52DBBBCB"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r>
      <w:tr w:rsidR="00E20BBA" w:rsidRPr="00E20BBA" w14:paraId="73D89CE2" w14:textId="77777777" w:rsidTr="00CD5958">
        <w:trPr>
          <w:trHeight w:val="285"/>
        </w:trPr>
        <w:tc>
          <w:tcPr>
            <w:tcW w:w="3828" w:type="dxa"/>
            <w:tcBorders>
              <w:top w:val="nil"/>
              <w:left w:val="single" w:sz="4" w:space="0" w:color="auto"/>
              <w:bottom w:val="single" w:sz="4" w:space="0" w:color="auto"/>
              <w:right w:val="nil"/>
            </w:tcBorders>
            <w:shd w:val="clear" w:color="000000" w:fill="FFE699"/>
            <w:vAlign w:val="center"/>
            <w:hideMark/>
          </w:tcPr>
          <w:p w14:paraId="34CAA351"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Średnia</w:t>
            </w:r>
          </w:p>
        </w:tc>
        <w:tc>
          <w:tcPr>
            <w:tcW w:w="1417" w:type="dxa"/>
            <w:tcBorders>
              <w:top w:val="nil"/>
              <w:left w:val="single" w:sz="4" w:space="0" w:color="auto"/>
              <w:bottom w:val="single" w:sz="4" w:space="0" w:color="auto"/>
              <w:right w:val="single" w:sz="4" w:space="0" w:color="auto"/>
            </w:tcBorders>
            <w:shd w:val="clear" w:color="000000" w:fill="FFE699"/>
            <w:vAlign w:val="bottom"/>
            <w:hideMark/>
          </w:tcPr>
          <w:p w14:paraId="5CE8244E"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000000" w:fill="FFE699"/>
            <w:vAlign w:val="bottom"/>
            <w:hideMark/>
          </w:tcPr>
          <w:p w14:paraId="50C5A1EC"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000000" w:fill="FFE699"/>
            <w:vAlign w:val="bottom"/>
            <w:hideMark/>
          </w:tcPr>
          <w:p w14:paraId="48E1AF8E"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FE699"/>
            <w:vAlign w:val="bottom"/>
            <w:hideMark/>
          </w:tcPr>
          <w:p w14:paraId="1518A5BE"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FE699"/>
            <w:vAlign w:val="bottom"/>
            <w:hideMark/>
          </w:tcPr>
          <w:p w14:paraId="6D9B249D"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r>
      <w:tr w:rsidR="00E20BBA" w:rsidRPr="00E20BBA" w14:paraId="4CF09BDA" w14:textId="77777777" w:rsidTr="00CD5958">
        <w:trPr>
          <w:trHeight w:val="285"/>
        </w:trPr>
        <w:tc>
          <w:tcPr>
            <w:tcW w:w="3828" w:type="dxa"/>
            <w:tcBorders>
              <w:top w:val="nil"/>
              <w:left w:val="single" w:sz="4" w:space="0" w:color="auto"/>
              <w:bottom w:val="single" w:sz="4" w:space="0" w:color="auto"/>
              <w:right w:val="nil"/>
            </w:tcBorders>
            <w:shd w:val="clear" w:color="000000" w:fill="F8CBAD"/>
            <w:vAlign w:val="center"/>
            <w:hideMark/>
          </w:tcPr>
          <w:p w14:paraId="58078210"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xml:space="preserve">Powyżej średniej </w:t>
            </w:r>
          </w:p>
        </w:tc>
        <w:tc>
          <w:tcPr>
            <w:tcW w:w="1417" w:type="dxa"/>
            <w:tcBorders>
              <w:top w:val="nil"/>
              <w:left w:val="single" w:sz="4" w:space="0" w:color="auto"/>
              <w:bottom w:val="single" w:sz="4" w:space="0" w:color="auto"/>
              <w:right w:val="single" w:sz="4" w:space="0" w:color="auto"/>
            </w:tcBorders>
            <w:shd w:val="clear" w:color="000000" w:fill="F8CBAD"/>
            <w:vAlign w:val="bottom"/>
            <w:hideMark/>
          </w:tcPr>
          <w:p w14:paraId="3315724F"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38" w:type="dxa"/>
            <w:tcBorders>
              <w:top w:val="nil"/>
              <w:left w:val="nil"/>
              <w:bottom w:val="single" w:sz="4" w:space="0" w:color="auto"/>
              <w:right w:val="single" w:sz="4" w:space="0" w:color="auto"/>
            </w:tcBorders>
            <w:shd w:val="clear" w:color="000000" w:fill="F8CBAD"/>
            <w:vAlign w:val="bottom"/>
            <w:hideMark/>
          </w:tcPr>
          <w:p w14:paraId="58CF1A03"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255" w:type="dxa"/>
            <w:tcBorders>
              <w:top w:val="nil"/>
              <w:left w:val="nil"/>
              <w:bottom w:val="single" w:sz="4" w:space="0" w:color="auto"/>
              <w:right w:val="single" w:sz="4" w:space="0" w:color="auto"/>
            </w:tcBorders>
            <w:shd w:val="clear" w:color="000000" w:fill="F8CBAD"/>
            <w:vAlign w:val="bottom"/>
            <w:hideMark/>
          </w:tcPr>
          <w:p w14:paraId="1C25D2B6"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418" w:type="dxa"/>
            <w:tcBorders>
              <w:top w:val="nil"/>
              <w:left w:val="nil"/>
              <w:bottom w:val="single" w:sz="4" w:space="0" w:color="auto"/>
              <w:right w:val="single" w:sz="4" w:space="0" w:color="auto"/>
            </w:tcBorders>
            <w:shd w:val="clear" w:color="000000" w:fill="F8CBAD"/>
            <w:vAlign w:val="bottom"/>
            <w:hideMark/>
          </w:tcPr>
          <w:p w14:paraId="72115FFD"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c>
          <w:tcPr>
            <w:tcW w:w="1559" w:type="dxa"/>
            <w:tcBorders>
              <w:top w:val="nil"/>
              <w:left w:val="nil"/>
              <w:bottom w:val="single" w:sz="4" w:space="0" w:color="auto"/>
              <w:right w:val="single" w:sz="4" w:space="0" w:color="auto"/>
            </w:tcBorders>
            <w:shd w:val="clear" w:color="000000" w:fill="F8CBAD"/>
            <w:vAlign w:val="bottom"/>
            <w:hideMark/>
          </w:tcPr>
          <w:p w14:paraId="1F9C5EE1" w14:textId="77777777" w:rsidR="00E20BBA" w:rsidRPr="00E20BBA" w:rsidRDefault="00E20BBA" w:rsidP="00E20BBA">
            <w:pPr>
              <w:suppressAutoHyphens w:val="0"/>
              <w:autoSpaceDN/>
              <w:spacing w:after="0"/>
              <w:textAlignment w:val="auto"/>
              <w:rPr>
                <w:rFonts w:eastAsia="Times New Roman" w:cs="Calibri"/>
                <w:color w:val="000000"/>
                <w:lang w:eastAsia="pl-PL"/>
              </w:rPr>
            </w:pPr>
            <w:r w:rsidRPr="00E20BBA">
              <w:rPr>
                <w:rFonts w:eastAsia="Times New Roman" w:cs="Calibri"/>
                <w:color w:val="000000"/>
                <w:lang w:eastAsia="pl-PL"/>
              </w:rPr>
              <w:t> </w:t>
            </w:r>
          </w:p>
        </w:tc>
      </w:tr>
    </w:tbl>
    <w:p w14:paraId="567C14A7" w14:textId="7B02D01B" w:rsidR="00BF4FFC" w:rsidRDefault="009871AE">
      <w:pPr>
        <w:spacing w:before="120" w:after="0" w:line="264" w:lineRule="auto"/>
      </w:pPr>
      <w:r w:rsidRPr="00312FAA">
        <w:t xml:space="preserve">Źródło: Opracowanie własne </w:t>
      </w:r>
      <w:bookmarkStart w:id="251" w:name="_Toc97300859"/>
      <w:bookmarkStart w:id="252" w:name="_Toc67141054"/>
      <w:bookmarkStart w:id="253" w:name="_Toc67307039"/>
    </w:p>
    <w:p w14:paraId="3400467A" w14:textId="77777777" w:rsidR="00D30D70" w:rsidRPr="00D30D70" w:rsidRDefault="00D30D70" w:rsidP="00D30D70">
      <w:pPr>
        <w:spacing w:before="120" w:after="0" w:line="264" w:lineRule="auto"/>
        <w:rPr>
          <w:sz w:val="24"/>
          <w:szCs w:val="24"/>
        </w:rPr>
      </w:pPr>
      <w:r w:rsidRPr="00D30D70">
        <w:rPr>
          <w:sz w:val="24"/>
          <w:szCs w:val="24"/>
        </w:rPr>
        <w:t xml:space="preserve">Analiza skonsolidowanego wskaźnika IMD pokazuje wyraźną koncentrację problemów w obszarze miejskim Krośniewic. Średnia wartość IMD dla gminy wynosi około </w:t>
      </w:r>
      <w:r w:rsidRPr="00D30D70">
        <w:rPr>
          <w:b/>
          <w:bCs/>
          <w:sz w:val="24"/>
          <w:szCs w:val="24"/>
        </w:rPr>
        <w:t>8,0</w:t>
      </w:r>
      <w:r w:rsidRPr="00D30D70">
        <w:rPr>
          <w:sz w:val="24"/>
          <w:szCs w:val="24"/>
        </w:rPr>
        <w:t xml:space="preserve"> (przedział odniesienia 7–8), podczas gdy najwyższe wyniki osiągają jednostki miejskie: </w:t>
      </w:r>
      <w:r w:rsidRPr="00D30D70">
        <w:rPr>
          <w:b/>
          <w:bCs/>
          <w:sz w:val="24"/>
          <w:szCs w:val="24"/>
        </w:rPr>
        <w:t>Osiedle nr 1 = 13</w:t>
      </w:r>
      <w:r w:rsidRPr="00D30D70">
        <w:rPr>
          <w:sz w:val="24"/>
          <w:szCs w:val="24"/>
        </w:rPr>
        <w:t xml:space="preserve">, </w:t>
      </w:r>
      <w:r w:rsidRPr="00D30D70">
        <w:rPr>
          <w:b/>
          <w:bCs/>
          <w:sz w:val="24"/>
          <w:szCs w:val="24"/>
        </w:rPr>
        <w:t>Osiedle nr 3 = 12</w:t>
      </w:r>
      <w:r w:rsidRPr="00D30D70">
        <w:rPr>
          <w:sz w:val="24"/>
          <w:szCs w:val="24"/>
        </w:rPr>
        <w:t xml:space="preserve">, a pozostałe osiedla miejskie (nr 2, 4, 5, 6) plasują się również powyżej lub blisko wartości średniej miej-wieś. W przeciwieństwie do tego większość sołectw uzyskała wartości IMD w przedziale 6–10, co wskazuje na niższy — choć nie znikomy — poziom skumulowanej presji problemowej. Taki rozkład wartości IMD wskazuje, że to właśnie obszar miejski kumuluje największe i najbardziej sprzężone wyzwania przestrzenno-funkcjonalne, społeczne, gospodarcze i środowiskowe, które uzasadniają wyznaczenie go jako </w:t>
      </w:r>
      <w:r w:rsidRPr="00D30D70">
        <w:rPr>
          <w:b/>
          <w:bCs/>
          <w:sz w:val="24"/>
          <w:szCs w:val="24"/>
        </w:rPr>
        <w:t>obszaru zdegradowanego</w:t>
      </w:r>
      <w:r w:rsidRPr="00D30D70">
        <w:rPr>
          <w:sz w:val="24"/>
          <w:szCs w:val="24"/>
        </w:rPr>
        <w:t xml:space="preserve"> w rozumieniu rewitalizacji </w:t>
      </w:r>
    </w:p>
    <w:p w14:paraId="5FCBEBFB" w14:textId="6833F1EB" w:rsidR="00D30D70" w:rsidRPr="00D30D70" w:rsidRDefault="00D30D70" w:rsidP="00D30D70">
      <w:pPr>
        <w:spacing w:before="120" w:after="0" w:line="264" w:lineRule="auto"/>
        <w:rPr>
          <w:sz w:val="24"/>
          <w:szCs w:val="24"/>
        </w:rPr>
      </w:pPr>
      <w:r w:rsidRPr="00D30D70">
        <w:rPr>
          <w:sz w:val="24"/>
          <w:szCs w:val="24"/>
        </w:rPr>
        <w:t xml:space="preserve">Z punktu widzenia wyboru granic obszaru zdegradowanego praktyczny wniosek brzmi: </w:t>
      </w:r>
      <w:r w:rsidRPr="00D30D70">
        <w:rPr>
          <w:b/>
          <w:bCs/>
          <w:sz w:val="24"/>
          <w:szCs w:val="24"/>
        </w:rPr>
        <w:t>obszar zdegradowany powinien obejmować teren miejski Krośniewic — wszystkie osiedla miejskie</w:t>
      </w:r>
      <w:r w:rsidRPr="00D30D70">
        <w:rPr>
          <w:sz w:val="24"/>
          <w:szCs w:val="24"/>
        </w:rPr>
        <w:t xml:space="preserve">, </w:t>
      </w:r>
      <w:proofErr w:type="gramStart"/>
      <w:r w:rsidRPr="00D30D70">
        <w:rPr>
          <w:sz w:val="24"/>
          <w:szCs w:val="24"/>
        </w:rPr>
        <w:t>ze</w:t>
      </w:r>
      <w:proofErr w:type="gramEnd"/>
      <w:r w:rsidRPr="00D30D70">
        <w:rPr>
          <w:sz w:val="24"/>
          <w:szCs w:val="24"/>
        </w:rPr>
        <w:t xml:space="preserve"> szczególnym priorytetem dla Osiedla nr 1 i Osiedla nr 3, gdzie natężenie problemów jest najwyższe. </w:t>
      </w:r>
      <w:r w:rsidR="00A16D8E">
        <w:rPr>
          <w:sz w:val="24"/>
          <w:szCs w:val="24"/>
        </w:rPr>
        <w:t xml:space="preserve"> </w:t>
      </w:r>
      <w:r w:rsidRPr="00D30D70">
        <w:rPr>
          <w:sz w:val="24"/>
          <w:szCs w:val="24"/>
        </w:rPr>
        <w:t>Uzasadnienie jest dwojakie: (1) wartości IMD „Razem” jednoznacznie wskazują na nasilony, wielowymiarowy problem w tych częściach miasta, a (2) problemy te mają charakter sprzężony — degradacja zasobu mieszkaniowego, braki infrastruktury technicznej i społecznej, słaba funkcjonalność przestrzeni publicznych i lokalne problemy środowiskowe — co wymaga zintegrowanej, terytorialnej interwencji, typowej dla obszaru rewitalizacji.</w:t>
      </w:r>
    </w:p>
    <w:p w14:paraId="2D28EE4D" w14:textId="273E747C" w:rsidR="00D30D70" w:rsidRPr="00D30D70" w:rsidRDefault="00D30D70" w:rsidP="00D30D70">
      <w:pPr>
        <w:spacing w:before="120" w:after="0" w:line="264" w:lineRule="auto"/>
        <w:rPr>
          <w:sz w:val="24"/>
          <w:szCs w:val="24"/>
        </w:rPr>
      </w:pPr>
      <w:r w:rsidRPr="00D30D70">
        <w:rPr>
          <w:sz w:val="24"/>
          <w:szCs w:val="24"/>
        </w:rPr>
        <w:lastRenderedPageBreak/>
        <w:t xml:space="preserve">Rekomendowane dalsze kroki proceduralne i merytoryczne to: 1) formalne wyznaczenie obszaru zdegradowanego obejmującego granice wszystkich osiedli miejskich; 2) priorytetyzacja działań na </w:t>
      </w:r>
      <w:r w:rsidR="00563FE5">
        <w:rPr>
          <w:sz w:val="24"/>
          <w:szCs w:val="24"/>
        </w:rPr>
        <w:t>terenie miejskim Krośniewic</w:t>
      </w:r>
      <w:r w:rsidRPr="00D30D70">
        <w:rPr>
          <w:sz w:val="24"/>
          <w:szCs w:val="24"/>
        </w:rPr>
        <w:t xml:space="preserve"> (kompleksowe programy remontów budynków, uzupełnienie infrastruktury drogowej i technicznej, rewitalizacja przestrzeni publicznych i terenów zielonych, programy aktywizacji społeczno-gospodarczej); 3) przeprowadzenie szczegółowych badań terenowych (audyt techniczny budynków, inwentaryzacja infrastruktury, mapowanie barier przestrzennych) oraz konsultacji społecznych, które doprecyzują granice wewnętrzne obszaru i zakres działań; 4) zaplanowanie mechanizmów monitoringu efektów (roczna aktualizacja IMD i wskaźników towarzyszących) jako podstawa okresowej korekty programu rewitalizacyjnego.</w:t>
      </w:r>
    </w:p>
    <w:p w14:paraId="0E5F6E76" w14:textId="28D1F2D4" w:rsidR="00D30D70" w:rsidRPr="00D30D70" w:rsidRDefault="00D30D70">
      <w:pPr>
        <w:spacing w:before="120" w:after="0" w:line="264" w:lineRule="auto"/>
        <w:rPr>
          <w:sz w:val="24"/>
          <w:szCs w:val="24"/>
        </w:rPr>
      </w:pPr>
      <w:r w:rsidRPr="00D30D70">
        <w:rPr>
          <w:sz w:val="24"/>
          <w:szCs w:val="24"/>
        </w:rPr>
        <w:t>Podsumowując</w:t>
      </w:r>
      <w:r w:rsidR="00563FE5">
        <w:rPr>
          <w:sz w:val="24"/>
          <w:szCs w:val="24"/>
        </w:rPr>
        <w:t xml:space="preserve">, </w:t>
      </w:r>
      <w:r w:rsidRPr="00D30D70">
        <w:rPr>
          <w:sz w:val="24"/>
          <w:szCs w:val="24"/>
        </w:rPr>
        <w:t xml:space="preserve">dane syntetyczne IMD jasno wskazują, że </w:t>
      </w:r>
      <w:r w:rsidRPr="00563FE5">
        <w:rPr>
          <w:b/>
          <w:bCs/>
          <w:sz w:val="24"/>
          <w:szCs w:val="24"/>
        </w:rPr>
        <w:t>centrum miejskie Krośniewic — rozumiane jako zespół osiedli</w:t>
      </w:r>
      <w:r w:rsidRPr="00D30D70">
        <w:rPr>
          <w:sz w:val="24"/>
          <w:szCs w:val="24"/>
        </w:rPr>
        <w:t xml:space="preserve"> — spełnia kryteria obszaru zdegradowanego i powinno zostać wyznaczone jako priorytet rewitalizacji, z ukierunkowaniem zasobów na najsilniej dotknięte jednostki (Osiedle nr 1 i nr 3) oraz na działania integrujące aspekty techniczne, społeczne, gospodarcze i środowiskowe.</w:t>
      </w:r>
    </w:p>
    <w:p w14:paraId="348208FE" w14:textId="77777777" w:rsidR="00BF4FFC" w:rsidRDefault="009871AE" w:rsidP="003D2355">
      <w:pPr>
        <w:pStyle w:val="Nagwek2"/>
      </w:pPr>
      <w:bookmarkStart w:id="254" w:name="_Toc466837485"/>
      <w:bookmarkStart w:id="255" w:name="_Toc472067183"/>
      <w:bookmarkStart w:id="256" w:name="_Toc482093978"/>
      <w:bookmarkStart w:id="257" w:name="_Toc59918614"/>
      <w:bookmarkStart w:id="258" w:name="_Toc64132853"/>
      <w:bookmarkStart w:id="259" w:name="_Toc67141079"/>
      <w:bookmarkStart w:id="260" w:name="_Toc67307381"/>
      <w:bookmarkStart w:id="261" w:name="_Toc67310284"/>
      <w:bookmarkStart w:id="262" w:name="_Toc97015012"/>
      <w:bookmarkStart w:id="263" w:name="_Toc97100745"/>
      <w:bookmarkStart w:id="264" w:name="_Toc97364986"/>
      <w:bookmarkStart w:id="265" w:name="_Toc97365032"/>
      <w:bookmarkStart w:id="266" w:name="_Toc108591678"/>
      <w:bookmarkStart w:id="267" w:name="_Toc108592690"/>
      <w:bookmarkStart w:id="268" w:name="_Toc108592755"/>
      <w:bookmarkStart w:id="269" w:name="_Toc133584141"/>
      <w:bookmarkStart w:id="270" w:name="_Toc138666215"/>
      <w:bookmarkStart w:id="271" w:name="_Toc219271393"/>
      <w:bookmarkEnd w:id="251"/>
      <w:bookmarkEnd w:id="252"/>
      <w:bookmarkEnd w:id="253"/>
      <w:r>
        <w:t>Wyznaczenie obszaru zdegradowan</w:t>
      </w:r>
      <w:bookmarkEnd w:id="254"/>
      <w:bookmarkEnd w:id="255"/>
      <w:bookmarkEnd w:id="256"/>
      <w:bookmarkEnd w:id="257"/>
      <w:bookmarkEnd w:id="258"/>
      <w:r>
        <w:t>ego i obszaru rewitalizacji</w:t>
      </w:r>
      <w:bookmarkEnd w:id="259"/>
      <w:bookmarkEnd w:id="260"/>
      <w:bookmarkEnd w:id="261"/>
      <w:bookmarkEnd w:id="262"/>
      <w:bookmarkEnd w:id="263"/>
      <w:bookmarkEnd w:id="264"/>
      <w:bookmarkEnd w:id="265"/>
      <w:bookmarkEnd w:id="266"/>
      <w:bookmarkEnd w:id="267"/>
      <w:bookmarkEnd w:id="268"/>
      <w:bookmarkEnd w:id="269"/>
      <w:bookmarkEnd w:id="270"/>
      <w:bookmarkEnd w:id="271"/>
      <w:r>
        <w:t xml:space="preserve"> </w:t>
      </w:r>
    </w:p>
    <w:p w14:paraId="7B9FBA48" w14:textId="683A41B3" w:rsidR="00BF4FFC" w:rsidRPr="007A030F" w:rsidRDefault="009871AE">
      <w:pPr>
        <w:spacing w:before="120" w:after="0" w:line="264" w:lineRule="auto"/>
        <w:rPr>
          <w:rStyle w:val="Pogrubienie"/>
          <w:b w:val="0"/>
          <w:bCs w:val="0"/>
          <w:color w:val="000000"/>
          <w:sz w:val="24"/>
          <w:szCs w:val="24"/>
          <w:shd w:val="clear" w:color="auto" w:fill="FFFFFF"/>
        </w:rPr>
      </w:pPr>
      <w:r>
        <w:rPr>
          <w:sz w:val="24"/>
          <w:szCs w:val="24"/>
        </w:rPr>
        <w:t xml:space="preserve">Zgodnie z </w:t>
      </w:r>
      <w:r w:rsidR="007D78C5">
        <w:rPr>
          <w:sz w:val="24"/>
          <w:szCs w:val="24"/>
        </w:rPr>
        <w:t>w</w:t>
      </w:r>
      <w:r>
        <w:rPr>
          <w:sz w:val="24"/>
          <w:szCs w:val="24"/>
        </w:rPr>
        <w:t>ytycznymi</w:t>
      </w:r>
      <w:r w:rsidR="007D78C5">
        <w:rPr>
          <w:sz w:val="24"/>
          <w:szCs w:val="24"/>
        </w:rPr>
        <w:t>,</w:t>
      </w:r>
      <w:r>
        <w:rPr>
          <w:sz w:val="24"/>
          <w:szCs w:val="24"/>
        </w:rPr>
        <w:t xml:space="preserve"> obszar zdegradowany musi obejmować </w:t>
      </w:r>
      <w:r w:rsidR="007D78C5">
        <w:rPr>
          <w:sz w:val="24"/>
          <w:szCs w:val="24"/>
        </w:rPr>
        <w:t xml:space="preserve">przede wszystkim </w:t>
      </w:r>
      <w:r>
        <w:rPr>
          <w:sz w:val="24"/>
          <w:szCs w:val="24"/>
        </w:rPr>
        <w:t>występowanie natężenia problemów społecznych</w:t>
      </w:r>
      <w:r w:rsidR="007D78C5">
        <w:rPr>
          <w:sz w:val="24"/>
          <w:szCs w:val="24"/>
        </w:rPr>
        <w:t>.</w:t>
      </w:r>
      <w:r>
        <w:rPr>
          <w:sz w:val="24"/>
          <w:szCs w:val="24"/>
        </w:rPr>
        <w:t xml:space="preserve"> </w:t>
      </w:r>
      <w:r w:rsidR="007D78C5">
        <w:rPr>
          <w:sz w:val="24"/>
          <w:szCs w:val="24"/>
        </w:rPr>
        <w:t>D</w:t>
      </w:r>
      <w:r>
        <w:rPr>
          <w:sz w:val="24"/>
          <w:szCs w:val="24"/>
        </w:rPr>
        <w:t>latego też</w:t>
      </w:r>
      <w:r w:rsidR="007D78C5">
        <w:rPr>
          <w:sz w:val="24"/>
          <w:szCs w:val="24"/>
        </w:rPr>
        <w:t>,</w:t>
      </w:r>
      <w:r>
        <w:rPr>
          <w:sz w:val="24"/>
          <w:szCs w:val="24"/>
        </w:rPr>
        <w:t xml:space="preserve"> na potrzeby wyliczenia finalnego wskaźnika deprywacji IMD wartości IMD społecznego zostały przyjęte zgodnie </w:t>
      </w:r>
      <w:r w:rsidR="007D78C5">
        <w:rPr>
          <w:sz w:val="24"/>
          <w:szCs w:val="24"/>
        </w:rPr>
        <w:t xml:space="preserve">z </w:t>
      </w:r>
      <w:r>
        <w:rPr>
          <w:sz w:val="24"/>
          <w:szCs w:val="24"/>
        </w:rPr>
        <w:t>otrzymaną wartością liczbową. W ramach wyznaczania obszaru zdegradowanego oraz obszaru rewitalizacji wyznaczono jednostki</w:t>
      </w:r>
      <w:r w:rsidR="007D78C5">
        <w:rPr>
          <w:sz w:val="24"/>
          <w:szCs w:val="24"/>
        </w:rPr>
        <w:t xml:space="preserve">, w </w:t>
      </w:r>
      <w:r w:rsidR="007D78C5" w:rsidRPr="007A030F">
        <w:rPr>
          <w:sz w:val="24"/>
          <w:szCs w:val="24"/>
        </w:rPr>
        <w:t>których</w:t>
      </w:r>
      <w:r w:rsidRPr="007A030F">
        <w:rPr>
          <w:sz w:val="24"/>
          <w:szCs w:val="24"/>
        </w:rPr>
        <w:t xml:space="preserve"> zidentyfikowano stan kryzysowy wynikający z natężenia problemów społecznych </w:t>
      </w:r>
      <w:r w:rsidR="007D78C5" w:rsidRPr="007A030F">
        <w:rPr>
          <w:sz w:val="24"/>
          <w:szCs w:val="24"/>
        </w:rPr>
        <w:t>oraz</w:t>
      </w:r>
      <w:r w:rsidRPr="007A030F">
        <w:rPr>
          <w:sz w:val="24"/>
          <w:szCs w:val="24"/>
        </w:rPr>
        <w:t xml:space="preserve"> co najmniej jednego z problemów w sferze gospodarczej, środowiskowej, przestrzennofunkcjonalnej lub technicznej. </w:t>
      </w:r>
    </w:p>
    <w:p w14:paraId="52A2EAE8" w14:textId="1E2EA8D5" w:rsidR="0005262A" w:rsidRPr="00563FE5" w:rsidRDefault="009871AE" w:rsidP="0005262A">
      <w:pPr>
        <w:spacing w:before="120" w:after="0" w:line="264" w:lineRule="auto"/>
        <w:rPr>
          <w:b/>
          <w:color w:val="000000"/>
          <w:sz w:val="24"/>
          <w:szCs w:val="24"/>
          <w:shd w:val="clear" w:color="auto" w:fill="FFFFFF"/>
        </w:rPr>
      </w:pPr>
      <w:r w:rsidRPr="007A030F">
        <w:rPr>
          <w:sz w:val="24"/>
          <w:szCs w:val="24"/>
        </w:rPr>
        <w:t xml:space="preserve">Zgodnie z </w:t>
      </w:r>
      <w:r w:rsidR="007D78C5" w:rsidRPr="007A030F">
        <w:rPr>
          <w:sz w:val="24"/>
          <w:szCs w:val="24"/>
        </w:rPr>
        <w:t>w</w:t>
      </w:r>
      <w:r w:rsidRPr="007A030F">
        <w:rPr>
          <w:sz w:val="24"/>
          <w:szCs w:val="24"/>
        </w:rPr>
        <w:t>ytycznymi Ministerstwa Rozwoju</w:t>
      </w:r>
      <w:r w:rsidR="007D78C5" w:rsidRPr="007A030F">
        <w:rPr>
          <w:sz w:val="24"/>
          <w:szCs w:val="24"/>
        </w:rPr>
        <w:t xml:space="preserve">, obszar </w:t>
      </w:r>
      <w:r w:rsidRPr="007A030F">
        <w:rPr>
          <w:sz w:val="24"/>
          <w:szCs w:val="24"/>
        </w:rPr>
        <w:t>zdegradowany musi obejmować występowanie przede wszystkim natężenia problemów społecznych</w:t>
      </w:r>
      <w:r w:rsidR="008D4387" w:rsidRPr="007A030F">
        <w:rPr>
          <w:sz w:val="24"/>
          <w:szCs w:val="24"/>
        </w:rPr>
        <w:t>, d</w:t>
      </w:r>
      <w:r w:rsidRPr="007A030F">
        <w:rPr>
          <w:sz w:val="24"/>
          <w:szCs w:val="24"/>
        </w:rPr>
        <w:t>latego do obszaru zdegradowanego zaliczon</w:t>
      </w:r>
      <w:r w:rsidR="008D4387" w:rsidRPr="007A030F">
        <w:rPr>
          <w:sz w:val="24"/>
          <w:szCs w:val="24"/>
        </w:rPr>
        <w:t>o</w:t>
      </w:r>
      <w:r w:rsidRPr="007A030F">
        <w:rPr>
          <w:sz w:val="24"/>
          <w:szCs w:val="24"/>
        </w:rPr>
        <w:t xml:space="preserve"> tylko jednostki administracyjne, dla których zidentyfikowano występowanie </w:t>
      </w:r>
      <w:r w:rsidR="008D4387" w:rsidRPr="007A030F">
        <w:rPr>
          <w:sz w:val="24"/>
          <w:szCs w:val="24"/>
        </w:rPr>
        <w:t xml:space="preserve">problemów </w:t>
      </w:r>
      <w:r w:rsidRPr="007A030F">
        <w:rPr>
          <w:sz w:val="24"/>
          <w:szCs w:val="24"/>
        </w:rPr>
        <w:t xml:space="preserve">w sferze społecznej. </w:t>
      </w:r>
      <w:r w:rsidR="008D4387" w:rsidRPr="007A030F">
        <w:rPr>
          <w:rStyle w:val="Pogrubienie"/>
          <w:b w:val="0"/>
          <w:color w:val="000000"/>
          <w:sz w:val="24"/>
          <w:szCs w:val="24"/>
          <w:shd w:val="clear" w:color="auto" w:fill="FFFFFF"/>
        </w:rPr>
        <w:t>W</w:t>
      </w:r>
      <w:r w:rsidRPr="007A030F">
        <w:rPr>
          <w:rStyle w:val="Pogrubienie"/>
          <w:b w:val="0"/>
          <w:color w:val="000000"/>
          <w:sz w:val="24"/>
          <w:szCs w:val="24"/>
          <w:shd w:val="clear" w:color="auto" w:fill="FFFFFF"/>
        </w:rPr>
        <w:t xml:space="preserve">ydzielone podobszary wskazują na potrzebę wprowadzenia działań naprawczych i wyprowadzenia </w:t>
      </w:r>
      <w:r w:rsidR="008D4387" w:rsidRPr="007A030F">
        <w:rPr>
          <w:rStyle w:val="Pogrubienie"/>
          <w:b w:val="0"/>
          <w:color w:val="000000"/>
          <w:sz w:val="24"/>
          <w:szCs w:val="24"/>
          <w:shd w:val="clear" w:color="auto" w:fill="FFFFFF"/>
        </w:rPr>
        <w:t xml:space="preserve">ich </w:t>
      </w:r>
      <w:r w:rsidRPr="007A030F">
        <w:rPr>
          <w:rStyle w:val="Pogrubienie"/>
          <w:b w:val="0"/>
          <w:color w:val="000000"/>
          <w:sz w:val="24"/>
          <w:szCs w:val="24"/>
          <w:shd w:val="clear" w:color="auto" w:fill="FFFFFF"/>
        </w:rPr>
        <w:t>z sytuacji kryzysowej, a w konsekwencji umożliwienia wskazanym podobszarom warunków do rozwoju w kontekście</w:t>
      </w:r>
      <w:r w:rsidR="008D4387" w:rsidRPr="007A030F">
        <w:rPr>
          <w:rStyle w:val="Pogrubienie"/>
          <w:b w:val="0"/>
          <w:color w:val="000000"/>
          <w:sz w:val="24"/>
          <w:szCs w:val="24"/>
          <w:shd w:val="clear" w:color="auto" w:fill="FFFFFF"/>
        </w:rPr>
        <w:t>:</w:t>
      </w:r>
      <w:r w:rsidRPr="007A030F">
        <w:rPr>
          <w:rStyle w:val="Pogrubienie"/>
          <w:b w:val="0"/>
          <w:color w:val="000000"/>
          <w:sz w:val="24"/>
          <w:szCs w:val="24"/>
          <w:shd w:val="clear" w:color="auto" w:fill="FFFFFF"/>
        </w:rPr>
        <w:t xml:space="preserve"> społecznym, infrastrukturalnym, środowiskowym, urbanistycznym. </w:t>
      </w:r>
      <w:r w:rsidR="0005262A" w:rsidRPr="00A16D8E">
        <w:rPr>
          <w:rStyle w:val="Pogrubienie"/>
          <w:b w:val="0"/>
          <w:color w:val="000000"/>
          <w:sz w:val="24"/>
          <w:szCs w:val="24"/>
          <w:shd w:val="clear" w:color="auto" w:fill="FFFFFF"/>
        </w:rPr>
        <w:t>W ramach przeprowadzonej analizy został wyznaczony obszar zdegradowany</w:t>
      </w:r>
      <w:r w:rsidR="00563FE5" w:rsidRPr="00A16D8E">
        <w:rPr>
          <w:rStyle w:val="Pogrubienie"/>
          <w:b w:val="0"/>
          <w:color w:val="000000"/>
          <w:sz w:val="24"/>
          <w:szCs w:val="24"/>
          <w:shd w:val="clear" w:color="auto" w:fill="FFFFFF"/>
        </w:rPr>
        <w:t xml:space="preserve">. </w:t>
      </w:r>
      <w:r w:rsidR="00563FE5" w:rsidRPr="00A16D8E">
        <w:rPr>
          <w:bCs/>
          <w:sz w:val="24"/>
          <w:szCs w:val="24"/>
        </w:rPr>
        <w:t xml:space="preserve">Powierzchnia obszaru zdegradowanego wynosi 417,5 ha i zamieszkiwana jest przez 3807 osób, co stanowi odpowiednio 4,4% ogólnej powierzchni gminy i </w:t>
      </w:r>
      <w:r w:rsidR="00131763">
        <w:rPr>
          <w:bCs/>
          <w:sz w:val="24"/>
          <w:szCs w:val="24"/>
        </w:rPr>
        <w:t>49,9</w:t>
      </w:r>
      <w:r w:rsidR="00563FE5" w:rsidRPr="00A16D8E">
        <w:rPr>
          <w:bCs/>
          <w:sz w:val="24"/>
          <w:szCs w:val="24"/>
        </w:rPr>
        <w:t>% ogólnej liczby mieszkańców gminy.</w:t>
      </w:r>
    </w:p>
    <w:p w14:paraId="664AB258" w14:textId="6A6D9551" w:rsidR="00674F94" w:rsidRPr="007A030F" w:rsidRDefault="00674F94" w:rsidP="00674F94">
      <w:pPr>
        <w:spacing w:before="120" w:after="0" w:line="264" w:lineRule="auto"/>
        <w:rPr>
          <w:rFonts w:cs="Calibri"/>
          <w:bCs/>
          <w:sz w:val="24"/>
          <w:szCs w:val="24"/>
        </w:rPr>
      </w:pPr>
      <w:r w:rsidRPr="007A030F">
        <w:rPr>
          <w:rFonts w:cs="Calibri"/>
          <w:bCs/>
          <w:sz w:val="24"/>
          <w:szCs w:val="24"/>
        </w:rPr>
        <w:t>Obszar rewitalizacji to obszar obejmujący całość lub część obszaru zdegradowanego, cechujący się szczególną koncentracją negatywnych zjawisk (wyżej wymienionych), na którym z uwagi na istotne znaczenie dla rozwoju lokalnego</w:t>
      </w:r>
      <w:r w:rsidR="008D4387" w:rsidRPr="007A030F">
        <w:rPr>
          <w:rFonts w:cs="Calibri"/>
          <w:bCs/>
          <w:sz w:val="24"/>
          <w:szCs w:val="24"/>
        </w:rPr>
        <w:t>,</w:t>
      </w:r>
      <w:r w:rsidRPr="007A030F">
        <w:rPr>
          <w:rFonts w:cs="Calibri"/>
          <w:bCs/>
          <w:sz w:val="24"/>
          <w:szCs w:val="24"/>
        </w:rPr>
        <w:t xml:space="preserve"> gmina zamierza prowadzić rewitalizację (art. 10 ust. 1 ustawy).</w:t>
      </w:r>
      <w:r w:rsidR="001431B1" w:rsidRPr="007A030F">
        <w:rPr>
          <w:sz w:val="24"/>
          <w:szCs w:val="24"/>
        </w:rPr>
        <w:t xml:space="preserve"> Dodatkowo, </w:t>
      </w:r>
      <w:r w:rsidR="001431B1" w:rsidRPr="007A030F">
        <w:rPr>
          <w:rFonts w:cs="Calibri"/>
          <w:bCs/>
          <w:sz w:val="24"/>
          <w:szCs w:val="24"/>
        </w:rPr>
        <w:t xml:space="preserve">zgodnie z art. 10 ust. 2 ustawy o rewitalizacji, obszar rewitalizacji nie może być większy niż 20% powierzchni </w:t>
      </w:r>
      <w:r w:rsidR="001431B1" w:rsidRPr="00A16D8E">
        <w:rPr>
          <w:rFonts w:cs="Calibri"/>
          <w:bCs/>
          <w:sz w:val="24"/>
          <w:szCs w:val="24"/>
        </w:rPr>
        <w:t>gminy oraz zamieszkały przez więcej niż 30% liczby mieszkańców gminy. Obszar rewitalizacji może być podzielony na podobszary, w tym podobszary nieposiadające ze sobą wspólnych granic.</w:t>
      </w:r>
      <w:r w:rsidR="00A16D8E" w:rsidRPr="00A16D8E">
        <w:rPr>
          <w:sz w:val="24"/>
          <w:szCs w:val="24"/>
        </w:rPr>
        <w:t xml:space="preserve"> Ustalony </w:t>
      </w:r>
      <w:r w:rsidR="00A16D8E" w:rsidRPr="00A16D8E">
        <w:rPr>
          <w:rFonts w:cs="Calibri"/>
          <w:bCs/>
          <w:sz w:val="24"/>
          <w:szCs w:val="24"/>
        </w:rPr>
        <w:t>obszar rewitalizacji wynosi 310,88 ha, co stanowi 3,28% ogólnej powierzchni gminy, natomiast liczba mieszkańców zamieszkujących obszar rewitalizacji wynosi 2242 osób, co stanowi 28,7% ogólnej liczby mieszkańców gminy. Na tak wyznaczonym obszarze będą prowadzone działania rewitalizacyjne, które zostaną wskazane w gminnym programie rewitalizacji opracowanym zgodnie z przepisami o rewitalizacji.</w:t>
      </w:r>
    </w:p>
    <w:p w14:paraId="3602A97D" w14:textId="77777777" w:rsidR="008503B4" w:rsidRDefault="00674F94" w:rsidP="00AF3F28">
      <w:pPr>
        <w:spacing w:before="120" w:after="0" w:line="264" w:lineRule="auto"/>
        <w:rPr>
          <w:rFonts w:cs="Calibri"/>
          <w:bCs/>
          <w:sz w:val="24"/>
          <w:szCs w:val="24"/>
        </w:rPr>
      </w:pPr>
      <w:r w:rsidRPr="007A030F">
        <w:rPr>
          <w:rFonts w:cs="Calibri"/>
          <w:bCs/>
          <w:sz w:val="24"/>
          <w:szCs w:val="24"/>
        </w:rPr>
        <w:lastRenderedPageBreak/>
        <w:t>Z przywołanych przepisów jednoznacznie wynika, że procesem rewitalizacji mogą zostać objęte wyłącznie obszary zamieszkałe (z wyjątkami określonymi w ustawie), gdyż stan kryzysowy, o którym mowa w przywołanym powyżej art. 9 ust. 1 ww. ustawy o rewitalizacji, powoduje koncentracja negatywnych zjawisk społecznych charakterystycznych wyłącznie dla takich obszarów.</w:t>
      </w:r>
      <w:bookmarkStart w:id="272" w:name="_Toc59918152"/>
      <w:bookmarkStart w:id="273" w:name="_Toc67307028"/>
      <w:r w:rsidR="00563FE5">
        <w:rPr>
          <w:rFonts w:cs="Calibri"/>
          <w:bCs/>
          <w:sz w:val="24"/>
          <w:szCs w:val="24"/>
        </w:rPr>
        <w:t xml:space="preserve"> </w:t>
      </w:r>
    </w:p>
    <w:p w14:paraId="1D8996D9" w14:textId="77C0AEE6" w:rsidR="00AF3F28" w:rsidRPr="00563FE5" w:rsidRDefault="009871AE" w:rsidP="00AF3F28">
      <w:pPr>
        <w:spacing w:before="120" w:after="0" w:line="264" w:lineRule="auto"/>
        <w:rPr>
          <w:rFonts w:cs="Calibri"/>
          <w:bCs/>
          <w:sz w:val="24"/>
          <w:szCs w:val="24"/>
        </w:rPr>
      </w:pPr>
      <w:r w:rsidRPr="00563FE5">
        <w:rPr>
          <w:b/>
          <w:bCs/>
          <w:sz w:val="24"/>
          <w:szCs w:val="24"/>
        </w:rPr>
        <w:t>Zgodnie z wymaganiami ustawy o rewitalizacji opracowane zostały mapy</w:t>
      </w:r>
      <w:r w:rsidR="00563FE5" w:rsidRPr="00563FE5">
        <w:rPr>
          <w:b/>
          <w:bCs/>
          <w:sz w:val="24"/>
          <w:szCs w:val="24"/>
        </w:rPr>
        <w:t xml:space="preserve"> </w:t>
      </w:r>
      <w:r w:rsidRPr="00563FE5">
        <w:rPr>
          <w:b/>
          <w:bCs/>
          <w:sz w:val="24"/>
          <w:szCs w:val="24"/>
        </w:rPr>
        <w:t>obszar</w:t>
      </w:r>
      <w:r w:rsidR="00563FE5" w:rsidRPr="00563FE5">
        <w:rPr>
          <w:b/>
          <w:bCs/>
          <w:sz w:val="24"/>
          <w:szCs w:val="24"/>
        </w:rPr>
        <w:t>u</w:t>
      </w:r>
      <w:r w:rsidRPr="00563FE5">
        <w:rPr>
          <w:b/>
          <w:bCs/>
          <w:sz w:val="24"/>
          <w:szCs w:val="24"/>
        </w:rPr>
        <w:t xml:space="preserve"> rewitalizacji w skali 1:5000 (arkusze</w:t>
      </w:r>
      <w:r w:rsidR="00563FE5">
        <w:rPr>
          <w:b/>
          <w:bCs/>
          <w:sz w:val="24"/>
          <w:szCs w:val="24"/>
        </w:rPr>
        <w:t xml:space="preserve"> mapowe</w:t>
      </w:r>
      <w:r w:rsidRPr="00563FE5">
        <w:rPr>
          <w:b/>
          <w:bCs/>
          <w:sz w:val="24"/>
          <w:szCs w:val="24"/>
        </w:rPr>
        <w:t xml:space="preserve">). </w:t>
      </w:r>
      <w:r w:rsidRPr="007A030F">
        <w:rPr>
          <w:sz w:val="24"/>
          <w:szCs w:val="24"/>
        </w:rPr>
        <w:t>Z uwagi na konieczność ujęcia w obszarze rewitalizacji jedynie terenów zamieszkanych konieczne było zawężenie całego obszaru danej jednostki urbanistycznej (sołectwa) do terenu zabudowanego i zamieszkałego oraz ewentualnie terenów przyległych zapewniających spójność obszaru i istotnych do prowadzenia działań rewitalizacyjnych. Metoda użyta do wyznaczenia granic obszarów rewitalizacji była wymuszona przez duże rozproszenie zabudowy w całej gminie</w:t>
      </w:r>
      <w:r w:rsidR="00E84AE6" w:rsidRPr="007A030F">
        <w:rPr>
          <w:rStyle w:val="Odwoanieprzypisudolnego"/>
          <w:sz w:val="24"/>
          <w:szCs w:val="24"/>
        </w:rPr>
        <w:footnoteReference w:id="32"/>
      </w:r>
      <w:r w:rsidRPr="007A030F">
        <w:rPr>
          <w:sz w:val="24"/>
          <w:szCs w:val="24"/>
        </w:rPr>
        <w:t xml:space="preserve">. </w:t>
      </w:r>
      <w:r w:rsidR="00AF3F28" w:rsidRPr="007A030F">
        <w:rPr>
          <w:sz w:val="24"/>
          <w:szCs w:val="24"/>
        </w:rPr>
        <w:t xml:space="preserve">W kontekście delimitacji obszaru rewitalizacji, kluczowe znaczenie ma prawidłowa interpretacja art. 10 ust. 3 ustawy </w:t>
      </w:r>
      <w:r w:rsidR="008118D4" w:rsidRPr="007A030F">
        <w:rPr>
          <w:sz w:val="24"/>
          <w:szCs w:val="24"/>
        </w:rPr>
        <w:t xml:space="preserve">o </w:t>
      </w:r>
      <w:r w:rsidR="00AF3F28" w:rsidRPr="007A030F">
        <w:rPr>
          <w:sz w:val="24"/>
          <w:szCs w:val="24"/>
        </w:rPr>
        <w:t>rewitalizacji, zgodnie z którym:</w:t>
      </w:r>
    </w:p>
    <w:p w14:paraId="426CCE83" w14:textId="77777777" w:rsidR="00AF3F28" w:rsidRPr="007A030F" w:rsidRDefault="00AF3F28" w:rsidP="00AF3F28">
      <w:pPr>
        <w:shd w:val="clear" w:color="auto" w:fill="F2F2F2" w:themeFill="background1" w:themeFillShade="F2"/>
        <w:spacing w:before="120" w:after="0" w:line="264" w:lineRule="auto"/>
        <w:rPr>
          <w:sz w:val="24"/>
          <w:szCs w:val="24"/>
        </w:rPr>
      </w:pPr>
      <w:r w:rsidRPr="007A030F">
        <w:rPr>
          <w:sz w:val="24"/>
          <w:szCs w:val="24"/>
        </w:rPr>
        <w:t>„W skład obszaru rewitalizacji mogą wchodzić, oprócz terenów zamieszkałych, także obszary poprzemysłowe, powojskowe albo pokolejowe, jeżeli możliwe do przeprowadzenia na nich działania przyczynią się do przeciwdziałania negatywnym zjawiskom społecznym, o których mowa w art. 9 ust. 1.”</w:t>
      </w:r>
    </w:p>
    <w:p w14:paraId="16489A63" w14:textId="77777777" w:rsidR="00D871BA" w:rsidRDefault="00AF3F28" w:rsidP="00D871BA">
      <w:pPr>
        <w:spacing w:before="120" w:after="0" w:line="264" w:lineRule="auto"/>
        <w:rPr>
          <w:sz w:val="24"/>
          <w:szCs w:val="24"/>
        </w:rPr>
      </w:pPr>
      <w:r w:rsidRPr="007A030F">
        <w:rPr>
          <w:sz w:val="24"/>
          <w:szCs w:val="24"/>
        </w:rPr>
        <w:t>Przepis ten wyraźnie ogranicza możliwość włączania terenów niezabudowanych lub niezamieszkałych do obszaru rewitalizacji jedynie do ściśle określonych kategorii – takich jak obszary poprzemysłowe, powojskowe lub pokolejowe, z zastrzeżeniem, że ich rewitalizacja będzie powiązana z przeciwdziałaniem zidentyfikowanym problemom społecznym o szczególnym natężeniu, typowym dla procesu rewitalizacji.</w:t>
      </w:r>
      <w:r w:rsidR="0005262A" w:rsidRPr="007A030F">
        <w:rPr>
          <w:sz w:val="24"/>
          <w:szCs w:val="24"/>
        </w:rPr>
        <w:t xml:space="preserve"> </w:t>
      </w:r>
      <w:r w:rsidRPr="007A030F">
        <w:rPr>
          <w:sz w:val="24"/>
          <w:szCs w:val="24"/>
        </w:rPr>
        <w:t>W praktyce oznacza to, że włączenie innych terenów niezamieszkałych – takich jak np. pola uprawne, tereny niezabudowane czy cenne przyrodniczo – jest niedopuszczalne, nawet jeśli znajdują się one w granicach analizowanego obszaru, chyba że spełniają powyższe kryteria funkcjonalne</w:t>
      </w:r>
      <w:r w:rsidR="0005262A" w:rsidRPr="007A030F">
        <w:rPr>
          <w:rStyle w:val="Odwoanieprzypisudolnego"/>
          <w:sz w:val="24"/>
          <w:szCs w:val="24"/>
        </w:rPr>
        <w:footnoteReference w:id="33"/>
      </w:r>
      <w:r w:rsidRPr="007A030F">
        <w:rPr>
          <w:sz w:val="24"/>
          <w:szCs w:val="24"/>
        </w:rPr>
        <w:t>.</w:t>
      </w:r>
      <w:r w:rsidR="0005262A" w:rsidRPr="007A030F">
        <w:rPr>
          <w:sz w:val="24"/>
          <w:szCs w:val="24"/>
        </w:rPr>
        <w:t xml:space="preserve"> </w:t>
      </w:r>
      <w:r w:rsidRPr="007A030F">
        <w:rPr>
          <w:sz w:val="24"/>
          <w:szCs w:val="24"/>
        </w:rPr>
        <w:t>Dodatkowo, zgodnie z intencją ustawodawcy, celem włączania tych terenów do obszaru rewitalizacji musi być bezpośrednie oddziaływanie projektowanych działań rewitalizacyjnych na ograniczenie lub eliminację zdiagnozowanych negatywnych zjawisk społecznych, takich jak bezrobocie, ubóstwo, przestępczość, niska aktywność obywatelska czy niewystarczające uczestnictwo w życiu publicznym i kulturalnym. Obszary te muszą nie tylko formalnie pasować do wskazanych przez ustawę typów, ale rzeczywiście być powiązane z celami rewitalizacji społecznej.</w:t>
      </w:r>
      <w:r w:rsidR="008118D4" w:rsidRPr="007A030F">
        <w:rPr>
          <w:sz w:val="24"/>
          <w:szCs w:val="24"/>
        </w:rPr>
        <w:t xml:space="preserve"> W związku z tym konieczne było istotne zawężenie obszaru zdegradowanego do wskazanego obszaru rewitalizacji. </w:t>
      </w:r>
      <w:r w:rsidR="00D871BA">
        <w:rPr>
          <w:sz w:val="24"/>
          <w:szCs w:val="24"/>
        </w:rPr>
        <w:t xml:space="preserve"> </w:t>
      </w:r>
    </w:p>
    <w:p w14:paraId="331E233F" w14:textId="77777777" w:rsidR="00A16D8E" w:rsidRDefault="00A16D8E" w:rsidP="00D871BA">
      <w:pPr>
        <w:spacing w:before="120" w:after="0" w:line="264" w:lineRule="auto"/>
        <w:rPr>
          <w:rFonts w:cs="Calibri"/>
          <w:b/>
          <w:sz w:val="24"/>
          <w:szCs w:val="24"/>
          <w:highlight w:val="yellow"/>
        </w:rPr>
      </w:pPr>
    </w:p>
    <w:p w14:paraId="3F6DBD60" w14:textId="77777777" w:rsidR="00A16D8E" w:rsidRDefault="00A16D8E" w:rsidP="00D871BA">
      <w:pPr>
        <w:spacing w:before="120" w:after="0" w:line="264" w:lineRule="auto"/>
        <w:rPr>
          <w:rFonts w:cs="Calibri"/>
          <w:b/>
          <w:sz w:val="24"/>
          <w:szCs w:val="24"/>
          <w:highlight w:val="yellow"/>
        </w:rPr>
      </w:pPr>
    </w:p>
    <w:p w14:paraId="65296F6A" w14:textId="657A276E" w:rsidR="00BF4FFC" w:rsidRPr="00D871BA" w:rsidRDefault="00045FD1" w:rsidP="00D871BA">
      <w:pPr>
        <w:spacing w:before="120" w:after="0" w:line="264" w:lineRule="auto"/>
        <w:rPr>
          <w:sz w:val="24"/>
          <w:szCs w:val="24"/>
        </w:rPr>
      </w:pPr>
      <w:r w:rsidRPr="00A16D8E">
        <w:rPr>
          <w:sz w:val="24"/>
          <w:szCs w:val="24"/>
        </w:rPr>
        <w:lastRenderedPageBreak/>
        <w:t>Poniższa mapa ma charakter wyłącznie poglądowy, mapa „ustawow</w:t>
      </w:r>
      <w:r w:rsidR="00673510" w:rsidRPr="00A16D8E">
        <w:rPr>
          <w:sz w:val="24"/>
          <w:szCs w:val="24"/>
        </w:rPr>
        <w:t>a</w:t>
      </w:r>
      <w:r w:rsidRPr="00A16D8E">
        <w:rPr>
          <w:sz w:val="24"/>
          <w:szCs w:val="24"/>
        </w:rPr>
        <w:t xml:space="preserve">” w skali 1:5000 stanowi załącznik do uchwały </w:t>
      </w:r>
      <w:r w:rsidR="00563FE5" w:rsidRPr="00A16D8E">
        <w:rPr>
          <w:sz w:val="24"/>
          <w:szCs w:val="24"/>
        </w:rPr>
        <w:t>Rady Miejskiej w Krośniewicach</w:t>
      </w:r>
      <w:r w:rsidRPr="00A16D8E">
        <w:rPr>
          <w:sz w:val="24"/>
          <w:szCs w:val="24"/>
        </w:rPr>
        <w:t xml:space="preserve"> w sprawie wyznaczenia obszaru zdegradowanego i obszaru rewitalizacji </w:t>
      </w:r>
      <w:r w:rsidR="00563FE5" w:rsidRPr="00A16D8E">
        <w:rPr>
          <w:sz w:val="24"/>
          <w:szCs w:val="24"/>
        </w:rPr>
        <w:t>Krośniewic</w:t>
      </w:r>
      <w:r w:rsidRPr="00A16D8E">
        <w:rPr>
          <w:sz w:val="24"/>
          <w:szCs w:val="24"/>
        </w:rPr>
        <w:t>.</w:t>
      </w:r>
      <w:r w:rsidR="00A16D8E">
        <w:rPr>
          <w:sz w:val="24"/>
          <w:szCs w:val="24"/>
        </w:rPr>
        <w:t xml:space="preserve"> Mapa wprowadziła podział na 9 arkuszy obszaru rewitalizacji</w:t>
      </w:r>
      <w:r w:rsidR="00131763">
        <w:rPr>
          <w:sz w:val="24"/>
          <w:szCs w:val="24"/>
        </w:rPr>
        <w:t xml:space="preserve">. Poniżej zaprezentowano mapę poglądową. </w:t>
      </w:r>
    </w:p>
    <w:p w14:paraId="16F3BC7A" w14:textId="6B39B5F6" w:rsidR="00E84AE6" w:rsidRDefault="00E84AE6" w:rsidP="002D6249">
      <w:pPr>
        <w:pStyle w:val="Legenda"/>
      </w:pPr>
      <w:bookmarkStart w:id="274" w:name="_Toc219274035"/>
      <w:r>
        <w:t xml:space="preserve">Rycina </w:t>
      </w:r>
      <w:fldSimple w:instr=" SEQ Rycina \* ARABIC ">
        <w:r w:rsidR="007A030F">
          <w:rPr>
            <w:noProof/>
          </w:rPr>
          <w:t>1</w:t>
        </w:r>
      </w:fldSimple>
      <w:r>
        <w:t xml:space="preserve">. Obszar zdegradowany i obszar rewitalizacji </w:t>
      </w:r>
      <w:r w:rsidR="007A030F">
        <w:t>Gminy Krośniewice</w:t>
      </w:r>
      <w:r w:rsidR="008503B4">
        <w:t>-mapa poglądowa</w:t>
      </w:r>
      <w:bookmarkEnd w:id="274"/>
      <w:r w:rsidR="00045FD1">
        <w:t xml:space="preserve"> </w:t>
      </w:r>
    </w:p>
    <w:p w14:paraId="70A36A22" w14:textId="11A8DC83" w:rsidR="001F6F1D" w:rsidRPr="001F6F1D" w:rsidRDefault="008503B4" w:rsidP="008503B4">
      <w:pPr>
        <w:pStyle w:val="Legenda"/>
        <w:ind w:left="-142"/>
      </w:pPr>
      <w:r>
        <w:rPr>
          <w:noProof/>
        </w:rPr>
        <w:drawing>
          <wp:inline distT="0" distB="0" distL="0" distR="0" wp14:anchorId="16205AD8" wp14:editId="2CE8FB30">
            <wp:extent cx="6373640" cy="5127601"/>
            <wp:effectExtent l="0" t="0" r="8255" b="0"/>
            <wp:docPr id="11539335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6553" cy="5146034"/>
                    </a:xfrm>
                    <a:prstGeom prst="rect">
                      <a:avLst/>
                    </a:prstGeom>
                    <a:noFill/>
                    <a:ln>
                      <a:noFill/>
                    </a:ln>
                  </pic:spPr>
                </pic:pic>
              </a:graphicData>
            </a:graphic>
          </wp:inline>
        </w:drawing>
      </w:r>
    </w:p>
    <w:p w14:paraId="5246E9D8" w14:textId="77777777" w:rsidR="00CC3178" w:rsidRDefault="00E84AE6" w:rsidP="002D6249">
      <w:pPr>
        <w:pStyle w:val="Legenda"/>
      </w:pPr>
      <w:r w:rsidRPr="00AF3F28">
        <w:t xml:space="preserve">Źródło: opracowanie własne </w:t>
      </w:r>
      <w:bookmarkStart w:id="275" w:name="_Toc97300850"/>
      <w:bookmarkStart w:id="276" w:name="_Toc108590695"/>
      <w:bookmarkStart w:id="277" w:name="_Toc108591346"/>
    </w:p>
    <w:p w14:paraId="01A429E0" w14:textId="54C362B9" w:rsidR="00BF4FFC" w:rsidRPr="009F0A7D" w:rsidRDefault="009F0A7D" w:rsidP="002D6249">
      <w:pPr>
        <w:pStyle w:val="Legenda"/>
        <w:rPr>
          <w:rStyle w:val="Tytuksiki"/>
        </w:rPr>
      </w:pPr>
      <w:bookmarkStart w:id="278" w:name="_Toc219274345"/>
      <w:r w:rsidRPr="009F0A7D">
        <w:rPr>
          <w:rStyle w:val="Tytuksiki"/>
        </w:rPr>
        <w:t xml:space="preserve">Tabela </w:t>
      </w:r>
      <w:r w:rsidRPr="009F0A7D">
        <w:rPr>
          <w:rStyle w:val="Tytuksiki"/>
        </w:rPr>
        <w:fldChar w:fldCharType="begin"/>
      </w:r>
      <w:r w:rsidRPr="009F0A7D">
        <w:rPr>
          <w:rStyle w:val="Tytuksiki"/>
        </w:rPr>
        <w:instrText xml:space="preserve"> SEQ Tabela \* ARABIC </w:instrText>
      </w:r>
      <w:r w:rsidRPr="009F0A7D">
        <w:rPr>
          <w:rStyle w:val="Tytuksiki"/>
        </w:rPr>
        <w:fldChar w:fldCharType="separate"/>
      </w:r>
      <w:r w:rsidR="008503B4">
        <w:rPr>
          <w:rStyle w:val="Tytuksiki"/>
          <w:noProof/>
        </w:rPr>
        <w:t>9</w:t>
      </w:r>
      <w:r w:rsidRPr="009F0A7D">
        <w:rPr>
          <w:rStyle w:val="Tytuksiki"/>
        </w:rPr>
        <w:fldChar w:fldCharType="end"/>
      </w:r>
      <w:r w:rsidR="003000AC">
        <w:rPr>
          <w:rStyle w:val="Tytuksiki"/>
        </w:rPr>
        <w:t xml:space="preserve">. </w:t>
      </w:r>
      <w:r w:rsidR="009871AE" w:rsidRPr="009F0A7D">
        <w:rPr>
          <w:rStyle w:val="Tytuksiki"/>
        </w:rPr>
        <w:t xml:space="preserve">Prezentacja liczby ludności i powierzchni obszaru zdegradowanego i obszaru rewitalizacji w Gminie </w:t>
      </w:r>
      <w:r w:rsidR="00774BB7">
        <w:rPr>
          <w:rStyle w:val="Tytuksiki"/>
        </w:rPr>
        <w:t xml:space="preserve">Krośniewice </w:t>
      </w:r>
      <w:r w:rsidR="009871AE" w:rsidRPr="009F0A7D">
        <w:rPr>
          <w:rStyle w:val="Tytuksiki"/>
        </w:rPr>
        <w:t>w stosunku do limitów ustaw</w:t>
      </w:r>
      <w:bookmarkEnd w:id="272"/>
      <w:bookmarkEnd w:id="273"/>
      <w:r w:rsidR="009871AE" w:rsidRPr="009F0A7D">
        <w:rPr>
          <w:rStyle w:val="Tytuksiki"/>
        </w:rPr>
        <w:t>y o rewitalizacji</w:t>
      </w:r>
      <w:bookmarkEnd w:id="275"/>
      <w:bookmarkEnd w:id="276"/>
      <w:bookmarkEnd w:id="277"/>
      <w:bookmarkEnd w:id="278"/>
      <w:r w:rsidR="009871AE" w:rsidRPr="009F0A7D">
        <w:rPr>
          <w:rStyle w:val="Tytuksiki"/>
        </w:rPr>
        <w:t xml:space="preserve"> </w:t>
      </w:r>
    </w:p>
    <w:tbl>
      <w:tblPr>
        <w:tblW w:w="9639" w:type="dxa"/>
        <w:tblInd w:w="-5" w:type="dxa"/>
        <w:tblCellMar>
          <w:left w:w="10" w:type="dxa"/>
          <w:right w:w="10" w:type="dxa"/>
        </w:tblCellMar>
        <w:tblLook w:val="0000" w:firstRow="0" w:lastRow="0" w:firstColumn="0" w:lastColumn="0" w:noHBand="0" w:noVBand="0"/>
      </w:tblPr>
      <w:tblGrid>
        <w:gridCol w:w="3119"/>
        <w:gridCol w:w="1417"/>
        <w:gridCol w:w="1701"/>
        <w:gridCol w:w="1559"/>
        <w:gridCol w:w="1843"/>
      </w:tblGrid>
      <w:tr w:rsidR="00BF4FFC" w14:paraId="2AA7BA8F" w14:textId="77777777" w:rsidTr="00A16D8E">
        <w:trPr>
          <w:cantSplit/>
          <w:trHeight w:val="1491"/>
        </w:trPr>
        <w:tc>
          <w:tcPr>
            <w:tcW w:w="3119" w:type="dxa"/>
            <w:tcBorders>
              <w:top w:val="single" w:sz="4" w:space="0" w:color="000000"/>
              <w:left w:val="single" w:sz="4" w:space="0" w:color="000000"/>
              <w:bottom w:val="single" w:sz="4" w:space="0" w:color="000000"/>
              <w:right w:val="single" w:sz="4" w:space="0" w:color="000000"/>
            </w:tcBorders>
            <w:shd w:val="clear" w:color="auto" w:fill="4472C4" w:themeFill="accent1"/>
            <w:tcMar>
              <w:top w:w="0" w:type="dxa"/>
              <w:left w:w="70" w:type="dxa"/>
              <w:bottom w:w="0" w:type="dxa"/>
              <w:right w:w="70" w:type="dxa"/>
            </w:tcMar>
            <w:vAlign w:val="center"/>
          </w:tcPr>
          <w:p w14:paraId="11E72D3A" w14:textId="60826B58" w:rsidR="00BF4FFC" w:rsidRPr="00F36684" w:rsidRDefault="007A59C8">
            <w:pPr>
              <w:suppressAutoHyphens w:val="0"/>
              <w:spacing w:after="0"/>
              <w:jc w:val="center"/>
              <w:textAlignment w:val="auto"/>
              <w:rPr>
                <w:rFonts w:eastAsia="Times New Roman" w:cs="Calibri"/>
                <w:color w:val="FFFFFF" w:themeColor="background1"/>
                <w:lang w:eastAsia="pl-PL"/>
              </w:rPr>
            </w:pPr>
            <w:r>
              <w:rPr>
                <w:rFonts w:eastAsia="Times New Roman" w:cs="Calibri"/>
                <w:color w:val="FFFFFF" w:themeColor="background1"/>
                <w:lang w:eastAsia="pl-PL"/>
              </w:rPr>
              <w:t xml:space="preserve">Obszar zdegradowany i                obszar </w:t>
            </w:r>
            <w:r w:rsidR="009871AE" w:rsidRPr="00F36684">
              <w:rPr>
                <w:rFonts w:eastAsia="Times New Roman" w:cs="Calibri"/>
                <w:color w:val="FFFFFF" w:themeColor="background1"/>
                <w:lang w:eastAsia="pl-PL"/>
              </w:rPr>
              <w:t xml:space="preserve">rewitalizacji </w:t>
            </w:r>
            <w:r w:rsidR="00391B1D">
              <w:rPr>
                <w:rFonts w:eastAsia="Times New Roman" w:cs="Calibri"/>
                <w:color w:val="FFFFFF" w:themeColor="background1"/>
                <w:lang w:eastAsia="pl-PL"/>
              </w:rPr>
              <w:t>Gminy</w:t>
            </w:r>
          </w:p>
        </w:tc>
        <w:tc>
          <w:tcPr>
            <w:tcW w:w="1417" w:type="dxa"/>
            <w:tcBorders>
              <w:top w:val="single" w:sz="4" w:space="0" w:color="000000"/>
              <w:left w:val="single" w:sz="4" w:space="0" w:color="000000"/>
              <w:bottom w:val="single" w:sz="4" w:space="0" w:color="000000"/>
              <w:right w:val="single" w:sz="4" w:space="0" w:color="000000"/>
            </w:tcBorders>
            <w:shd w:val="clear" w:color="auto" w:fill="4472C4" w:themeFill="accent1"/>
            <w:tcMar>
              <w:top w:w="0" w:type="dxa"/>
              <w:left w:w="70" w:type="dxa"/>
              <w:bottom w:w="0" w:type="dxa"/>
              <w:right w:w="70" w:type="dxa"/>
            </w:tcMar>
            <w:vAlign w:val="center"/>
          </w:tcPr>
          <w:p w14:paraId="6CBEBC0C" w14:textId="4404A264" w:rsidR="00BF4FFC" w:rsidRPr="00F36684" w:rsidRDefault="009871AE">
            <w:pPr>
              <w:suppressAutoHyphens w:val="0"/>
              <w:spacing w:after="0"/>
              <w:jc w:val="center"/>
              <w:textAlignment w:val="auto"/>
              <w:rPr>
                <w:rFonts w:eastAsia="Times New Roman" w:cs="Calibri"/>
                <w:color w:val="FFFFFF" w:themeColor="background1"/>
                <w:lang w:eastAsia="pl-PL"/>
              </w:rPr>
            </w:pPr>
            <w:r w:rsidRPr="00F36684">
              <w:rPr>
                <w:rFonts w:eastAsia="Times New Roman" w:cs="Calibri"/>
                <w:color w:val="FFFFFF" w:themeColor="background1"/>
                <w:lang w:eastAsia="pl-PL"/>
              </w:rPr>
              <w:t>Liczba ludności na 202</w:t>
            </w:r>
            <w:r w:rsidR="006877E2">
              <w:rPr>
                <w:rFonts w:eastAsia="Times New Roman" w:cs="Calibri"/>
                <w:color w:val="FFFFFF" w:themeColor="background1"/>
                <w:lang w:eastAsia="pl-PL"/>
              </w:rPr>
              <w:t>4</w:t>
            </w:r>
            <w:r w:rsidRPr="00F36684">
              <w:rPr>
                <w:rFonts w:eastAsia="Times New Roman" w:cs="Calibri"/>
                <w:color w:val="FFFFFF" w:themeColor="background1"/>
                <w:lang w:eastAsia="pl-PL"/>
              </w:rPr>
              <w:t xml:space="preserve">r. </w:t>
            </w:r>
          </w:p>
        </w:tc>
        <w:tc>
          <w:tcPr>
            <w:tcW w:w="1701" w:type="dxa"/>
            <w:tcBorders>
              <w:top w:val="single" w:sz="4" w:space="0" w:color="000000"/>
              <w:left w:val="single" w:sz="4" w:space="0" w:color="000000"/>
              <w:bottom w:val="single" w:sz="4" w:space="0" w:color="000000"/>
              <w:right w:val="single" w:sz="4" w:space="0" w:color="000000"/>
            </w:tcBorders>
            <w:shd w:val="clear" w:color="auto" w:fill="4472C4" w:themeFill="accent1"/>
            <w:tcMar>
              <w:top w:w="0" w:type="dxa"/>
              <w:left w:w="70" w:type="dxa"/>
              <w:bottom w:w="0" w:type="dxa"/>
              <w:right w:w="70" w:type="dxa"/>
            </w:tcMar>
            <w:vAlign w:val="center"/>
          </w:tcPr>
          <w:p w14:paraId="6C41039E" w14:textId="77777777" w:rsidR="00BF4FFC" w:rsidRPr="00F36684" w:rsidRDefault="009871AE">
            <w:pPr>
              <w:suppressAutoHyphens w:val="0"/>
              <w:spacing w:after="0"/>
              <w:jc w:val="center"/>
              <w:textAlignment w:val="auto"/>
              <w:rPr>
                <w:rFonts w:eastAsia="Times New Roman" w:cs="Calibri"/>
                <w:color w:val="FFFFFF" w:themeColor="background1"/>
                <w:lang w:eastAsia="pl-PL"/>
              </w:rPr>
            </w:pPr>
            <w:r w:rsidRPr="00F36684">
              <w:rPr>
                <w:rFonts w:eastAsia="Times New Roman" w:cs="Calibri"/>
                <w:color w:val="FFFFFF" w:themeColor="background1"/>
                <w:lang w:eastAsia="pl-PL"/>
              </w:rPr>
              <w:t xml:space="preserve">Odsetek ludności obszaru rewitalizacji w stosunku do ludności gminy  </w:t>
            </w:r>
          </w:p>
        </w:tc>
        <w:tc>
          <w:tcPr>
            <w:tcW w:w="1559" w:type="dxa"/>
            <w:tcBorders>
              <w:top w:val="single" w:sz="4" w:space="0" w:color="000000"/>
              <w:left w:val="single" w:sz="4" w:space="0" w:color="000000"/>
              <w:bottom w:val="single" w:sz="4" w:space="0" w:color="000000"/>
              <w:right w:val="single" w:sz="4" w:space="0" w:color="000000"/>
            </w:tcBorders>
            <w:shd w:val="clear" w:color="auto" w:fill="4472C4" w:themeFill="accent1"/>
            <w:tcMar>
              <w:top w:w="0" w:type="dxa"/>
              <w:left w:w="70" w:type="dxa"/>
              <w:bottom w:w="0" w:type="dxa"/>
              <w:right w:w="70" w:type="dxa"/>
            </w:tcMar>
            <w:vAlign w:val="center"/>
          </w:tcPr>
          <w:p w14:paraId="1534B22C" w14:textId="3C83B250" w:rsidR="00BF4FFC" w:rsidRPr="00F36684" w:rsidRDefault="009871AE">
            <w:pPr>
              <w:suppressAutoHyphens w:val="0"/>
              <w:spacing w:before="120" w:after="0"/>
              <w:jc w:val="center"/>
              <w:textAlignment w:val="auto"/>
              <w:rPr>
                <w:color w:val="FFFFFF" w:themeColor="background1"/>
              </w:rPr>
            </w:pPr>
            <w:r w:rsidRPr="00F36684">
              <w:rPr>
                <w:rFonts w:eastAsia="Times New Roman" w:cs="Calibri"/>
                <w:color w:val="FFFFFF" w:themeColor="background1"/>
                <w:lang w:eastAsia="pl-PL"/>
              </w:rPr>
              <w:t xml:space="preserve">Powierzchnia </w:t>
            </w:r>
          </w:p>
        </w:tc>
        <w:tc>
          <w:tcPr>
            <w:tcW w:w="1843" w:type="dxa"/>
            <w:tcBorders>
              <w:top w:val="single" w:sz="4" w:space="0" w:color="000000"/>
              <w:left w:val="single" w:sz="4" w:space="0" w:color="000000"/>
              <w:bottom w:val="single" w:sz="4" w:space="0" w:color="000000"/>
              <w:right w:val="single" w:sz="4" w:space="0" w:color="000000"/>
            </w:tcBorders>
            <w:shd w:val="clear" w:color="auto" w:fill="4472C4" w:themeFill="accent1"/>
            <w:tcMar>
              <w:top w:w="0" w:type="dxa"/>
              <w:left w:w="70" w:type="dxa"/>
              <w:bottom w:w="0" w:type="dxa"/>
              <w:right w:w="70" w:type="dxa"/>
            </w:tcMar>
            <w:vAlign w:val="center"/>
          </w:tcPr>
          <w:p w14:paraId="21A3F982" w14:textId="77777777" w:rsidR="00BF4FFC" w:rsidRPr="00F36684" w:rsidRDefault="009871AE">
            <w:pPr>
              <w:suppressAutoHyphens w:val="0"/>
              <w:spacing w:after="0"/>
              <w:jc w:val="center"/>
              <w:textAlignment w:val="auto"/>
              <w:rPr>
                <w:rFonts w:eastAsia="Times New Roman" w:cs="Calibri"/>
                <w:color w:val="FFFFFF" w:themeColor="background1"/>
                <w:lang w:eastAsia="pl-PL"/>
              </w:rPr>
            </w:pPr>
            <w:r w:rsidRPr="00F36684">
              <w:rPr>
                <w:rFonts w:eastAsia="Times New Roman" w:cs="Calibri"/>
                <w:color w:val="FFFFFF" w:themeColor="background1"/>
                <w:lang w:eastAsia="pl-PL"/>
              </w:rPr>
              <w:t xml:space="preserve">Odsetek powierzchni obszaru w stosunku do ludności gminy </w:t>
            </w:r>
          </w:p>
        </w:tc>
      </w:tr>
      <w:tr w:rsidR="00BF4FFC" w:rsidRPr="004A7CBA" w14:paraId="31AEE4B5" w14:textId="77777777" w:rsidTr="00A16D8E">
        <w:trPr>
          <w:trHeight w:val="290"/>
        </w:trPr>
        <w:tc>
          <w:tcPr>
            <w:tcW w:w="311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0E6CA230" w14:textId="77777777" w:rsidR="00BF4FFC" w:rsidRPr="004A7CBA" w:rsidRDefault="009871AE">
            <w:pPr>
              <w:suppressAutoHyphens w:val="0"/>
              <w:spacing w:after="0"/>
              <w:textAlignment w:val="auto"/>
              <w:rPr>
                <w:rFonts w:eastAsia="Times New Roman" w:cs="Calibri"/>
                <w:color w:val="000000"/>
                <w:lang w:eastAsia="pl-PL"/>
              </w:rPr>
            </w:pPr>
            <w:r w:rsidRPr="004A7CBA">
              <w:rPr>
                <w:rFonts w:eastAsia="Times New Roman" w:cs="Calibri"/>
                <w:color w:val="000000"/>
                <w:lang w:eastAsia="pl-PL"/>
              </w:rPr>
              <w:t xml:space="preserve">Obszar zdegradowany </w:t>
            </w:r>
          </w:p>
        </w:tc>
        <w:tc>
          <w:tcPr>
            <w:tcW w:w="1417"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7896C2CE" w14:textId="573FCC4B" w:rsidR="00BF4FFC" w:rsidRPr="00DE134A" w:rsidRDefault="00563FE5">
            <w:pPr>
              <w:suppressAutoHyphens w:val="0"/>
              <w:spacing w:after="0"/>
              <w:jc w:val="right"/>
              <w:textAlignment w:val="auto"/>
              <w:rPr>
                <w:rFonts w:eastAsia="Times New Roman" w:cs="Calibri"/>
                <w:color w:val="000000"/>
                <w:lang w:eastAsia="pl-PL"/>
              </w:rPr>
            </w:pPr>
            <w:r w:rsidRPr="00563FE5">
              <w:rPr>
                <w:rFonts w:eastAsia="Times New Roman" w:cs="Calibri"/>
                <w:color w:val="000000"/>
                <w:lang w:eastAsia="pl-PL"/>
              </w:rPr>
              <w:t>3807 osób</w:t>
            </w:r>
          </w:p>
        </w:tc>
        <w:tc>
          <w:tcPr>
            <w:tcW w:w="1701"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4ABC61F4" w14:textId="261C7F1D" w:rsidR="00BF4FFC" w:rsidRPr="00DE134A" w:rsidRDefault="00131763">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49,9</w:t>
            </w:r>
            <w:r w:rsidR="00563FE5" w:rsidRPr="00563FE5">
              <w:rPr>
                <w:rFonts w:eastAsia="Times New Roman" w:cs="Calibri"/>
                <w:color w:val="000000"/>
                <w:lang w:eastAsia="pl-PL"/>
              </w:rPr>
              <w:t>%</w:t>
            </w:r>
          </w:p>
        </w:tc>
        <w:tc>
          <w:tcPr>
            <w:tcW w:w="1559" w:type="dxa"/>
            <w:tcBorders>
              <w:bottom w:val="single" w:sz="4" w:space="0" w:color="000000"/>
              <w:right w:val="single" w:sz="4" w:space="0" w:color="000000"/>
            </w:tcBorders>
            <w:shd w:val="clear" w:color="auto" w:fill="FFFFFF"/>
            <w:noWrap/>
            <w:tcMar>
              <w:top w:w="0" w:type="dxa"/>
              <w:left w:w="70" w:type="dxa"/>
              <w:bottom w:w="0" w:type="dxa"/>
              <w:right w:w="70" w:type="dxa"/>
            </w:tcMar>
          </w:tcPr>
          <w:p w14:paraId="3806B711" w14:textId="4D3E120F" w:rsidR="00BF4FFC" w:rsidRPr="004A7CBA" w:rsidRDefault="00563FE5">
            <w:pPr>
              <w:suppressAutoHyphens w:val="0"/>
              <w:spacing w:after="0"/>
              <w:jc w:val="right"/>
              <w:textAlignment w:val="auto"/>
            </w:pPr>
            <w:r w:rsidRPr="00563FE5">
              <w:t>417,5 ha</w:t>
            </w:r>
          </w:p>
        </w:tc>
        <w:tc>
          <w:tcPr>
            <w:tcW w:w="1843"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4A9D074" w14:textId="22C84E24" w:rsidR="00BF4FFC" w:rsidRPr="004A7CBA" w:rsidRDefault="00563FE5">
            <w:pPr>
              <w:suppressAutoHyphens w:val="0"/>
              <w:spacing w:after="0"/>
              <w:jc w:val="right"/>
              <w:textAlignment w:val="auto"/>
            </w:pPr>
            <w:r w:rsidRPr="00563FE5">
              <w:t>4,4%</w:t>
            </w:r>
          </w:p>
        </w:tc>
      </w:tr>
      <w:tr w:rsidR="00BF4FFC" w:rsidRPr="004A7CBA" w14:paraId="7A33995F" w14:textId="77777777" w:rsidTr="00A16D8E">
        <w:trPr>
          <w:trHeight w:val="290"/>
        </w:trPr>
        <w:tc>
          <w:tcPr>
            <w:tcW w:w="311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1D88C341" w14:textId="77777777" w:rsidR="00BF4FFC" w:rsidRPr="00A16D8E" w:rsidRDefault="009871AE">
            <w:pPr>
              <w:suppressAutoHyphens w:val="0"/>
              <w:spacing w:after="0"/>
              <w:textAlignment w:val="auto"/>
              <w:rPr>
                <w:rFonts w:eastAsia="Times New Roman" w:cs="Calibri"/>
                <w:color w:val="000000"/>
                <w:lang w:eastAsia="pl-PL"/>
              </w:rPr>
            </w:pPr>
            <w:r w:rsidRPr="00A16D8E">
              <w:rPr>
                <w:rFonts w:eastAsia="Times New Roman" w:cs="Calibri"/>
                <w:color w:val="000000"/>
                <w:lang w:eastAsia="pl-PL"/>
              </w:rPr>
              <w:t xml:space="preserve">Obszar rewitalizacji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22B763BD" w14:textId="295AF734" w:rsidR="00BF4FFC" w:rsidRPr="00A16D8E" w:rsidRDefault="00A16D8E">
            <w:pPr>
              <w:suppressAutoHyphens w:val="0"/>
              <w:spacing w:after="0"/>
              <w:jc w:val="right"/>
              <w:textAlignment w:val="auto"/>
              <w:rPr>
                <w:rFonts w:eastAsia="Times New Roman" w:cs="Calibri"/>
                <w:color w:val="000000"/>
                <w:lang w:eastAsia="pl-PL"/>
              </w:rPr>
            </w:pPr>
            <w:r w:rsidRPr="00A16D8E">
              <w:rPr>
                <w:rFonts w:eastAsia="Times New Roman" w:cs="Calibri"/>
                <w:color w:val="000000"/>
                <w:lang w:eastAsia="pl-PL"/>
              </w:rPr>
              <w:t>2242</w:t>
            </w:r>
            <w:r>
              <w:rPr>
                <w:rFonts w:eastAsia="Times New Roman" w:cs="Calibri"/>
                <w:color w:val="000000"/>
                <w:lang w:eastAsia="pl-PL"/>
              </w:rPr>
              <w:t xml:space="preserve"> osób</w:t>
            </w: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707A1C4E" w14:textId="20F4EA53" w:rsidR="00BF4FFC" w:rsidRPr="00A16D8E" w:rsidRDefault="00A16D8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29,7%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79CC397" w14:textId="44233228" w:rsidR="00BF4FFC" w:rsidRPr="00A16D8E" w:rsidRDefault="00A16D8E">
            <w:pPr>
              <w:suppressAutoHyphens w:val="0"/>
              <w:spacing w:after="0"/>
              <w:jc w:val="right"/>
              <w:textAlignment w:val="auto"/>
            </w:pPr>
            <w:r w:rsidRPr="00A16D8E">
              <w:t>310,88 ha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4083704" w14:textId="2A83ACEC" w:rsidR="00BF4FFC" w:rsidRPr="004A7CBA" w:rsidRDefault="00A16D8E">
            <w:pPr>
              <w:suppressAutoHyphens w:val="0"/>
              <w:spacing w:after="0"/>
              <w:jc w:val="right"/>
              <w:textAlignment w:val="auto"/>
            </w:pPr>
            <w:r w:rsidRPr="00A16D8E">
              <w:t>3,2%</w:t>
            </w:r>
          </w:p>
        </w:tc>
      </w:tr>
    </w:tbl>
    <w:p w14:paraId="288FDAB5" w14:textId="77777777" w:rsidR="00BF4FFC" w:rsidRDefault="009871AE" w:rsidP="008503B4">
      <w:pPr>
        <w:spacing w:before="120" w:after="0" w:line="288" w:lineRule="auto"/>
        <w:rPr>
          <w:iCs/>
          <w:sz w:val="20"/>
          <w:szCs w:val="20"/>
        </w:rPr>
      </w:pPr>
      <w:r w:rsidRPr="001E67A2">
        <w:rPr>
          <w:iCs/>
          <w:sz w:val="20"/>
          <w:szCs w:val="20"/>
        </w:rPr>
        <w:t xml:space="preserve">Źródło: opracowanie własne </w:t>
      </w:r>
    </w:p>
    <w:p w14:paraId="74306A94" w14:textId="06C7FCB5" w:rsidR="00BF4FFC" w:rsidRDefault="009871AE">
      <w:pPr>
        <w:pStyle w:val="Nagwek1"/>
        <w:rPr>
          <w:rFonts w:ascii="Calibri" w:hAnsi="Calibri"/>
        </w:rPr>
      </w:pPr>
      <w:bookmarkStart w:id="279" w:name="_Toc59918620"/>
      <w:bookmarkStart w:id="280" w:name="_Toc64132859"/>
      <w:bookmarkStart w:id="281" w:name="_Toc67141087"/>
      <w:bookmarkStart w:id="282" w:name="_Toc67307389"/>
      <w:bookmarkStart w:id="283" w:name="_Toc67310292"/>
      <w:bookmarkStart w:id="284" w:name="_Toc97015015"/>
      <w:bookmarkStart w:id="285" w:name="_Toc97100749"/>
      <w:bookmarkStart w:id="286" w:name="_Toc97364991"/>
      <w:bookmarkStart w:id="287" w:name="_Toc97365037"/>
      <w:bookmarkStart w:id="288" w:name="_Toc108591679"/>
      <w:bookmarkStart w:id="289" w:name="_Toc108592691"/>
      <w:bookmarkStart w:id="290" w:name="_Toc108592756"/>
      <w:bookmarkStart w:id="291" w:name="_Toc133584142"/>
      <w:bookmarkStart w:id="292" w:name="_Toc138666216"/>
      <w:bookmarkStart w:id="293" w:name="_Toc219271394"/>
      <w:r>
        <w:rPr>
          <w:rFonts w:ascii="Calibri" w:hAnsi="Calibri"/>
        </w:rPr>
        <w:lastRenderedPageBreak/>
        <w:t>Rozdział V. Rekomendacje dla uchwały Rady</w:t>
      </w:r>
      <w:r w:rsidR="00563FE5">
        <w:rPr>
          <w:rFonts w:ascii="Calibri" w:hAnsi="Calibri"/>
        </w:rPr>
        <w:t xml:space="preserve"> Miejskiej</w:t>
      </w:r>
      <w:r>
        <w:rPr>
          <w:rFonts w:ascii="Calibri" w:hAnsi="Calibri"/>
        </w:rPr>
        <w:t xml:space="preserve"> o wyznaczeniu obszaru zdegradowanego i obszaru rewitalizacji</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Pr>
          <w:rFonts w:ascii="Calibri" w:hAnsi="Calibri"/>
        </w:rPr>
        <w:t xml:space="preserve"> </w:t>
      </w:r>
    </w:p>
    <w:p w14:paraId="0075B392" w14:textId="77777777" w:rsidR="00BF4FFC" w:rsidRPr="002C517D" w:rsidRDefault="009871AE" w:rsidP="00F35A6D">
      <w:pPr>
        <w:shd w:val="clear" w:color="auto" w:fill="F2F2F2" w:themeFill="background1" w:themeFillShade="F2"/>
        <w:spacing w:before="120" w:after="120" w:line="264" w:lineRule="auto"/>
        <w:rPr>
          <w:iCs/>
        </w:rPr>
      </w:pPr>
      <w:r w:rsidRPr="002C517D">
        <w:rPr>
          <w:iCs/>
        </w:rPr>
        <w:t>Niniejszy rozdział opisuje rekomendacje dotyczące wprowadzenia lub odstąpienia od wprowadzenia dodatkowych środków ochrony obszaru rewitalizacji przewidzianych w przepisach ustawy o rewitalizacji</w:t>
      </w:r>
    </w:p>
    <w:p w14:paraId="0CB6A6BB" w14:textId="77777777" w:rsidR="00D871BA" w:rsidRPr="00611468" w:rsidRDefault="00D871BA" w:rsidP="00D871BA">
      <w:pPr>
        <w:spacing w:before="120" w:after="0" w:line="264" w:lineRule="auto"/>
        <w:rPr>
          <w:sz w:val="24"/>
          <w:szCs w:val="24"/>
        </w:rPr>
      </w:pPr>
      <w:r w:rsidRPr="00611468">
        <w:rPr>
          <w:sz w:val="24"/>
          <w:szCs w:val="24"/>
        </w:rPr>
        <w:t>Wprowadzenie prawa pierwokupu na rzecz Gminy dla wybranych nieruchomości położonych na obszarze rewitalizacji ma na celu zabezpieczenie interesu publicznego oraz umożliwienie prowadzenia spójnej polityki rewitalizacyjnej i inwestycyjnej w centrum miasta. Zgodnie z art. 11 ust. 5 pkt 1 ustawy o rewitalizacji Rada Miejska może ustanowić prawo pierwokupu dla nieruchomości położonych na obszarze rewitalizacji w celu realizacji celów programu rewitalizacji; zastosowanie tej kompetencji wobec nieruchomości o charakterze inwestycyjnym w centralnej części Krośniewic jest w pełni uzasadnione potrzebą skoordynowanego wdrażania działań umożliwiających naprawę funkcji społecznych, gospodarczych i przestrzennych obszaru zdegradowanego.</w:t>
      </w:r>
    </w:p>
    <w:p w14:paraId="31F81CF5" w14:textId="66AF2E3E" w:rsidR="00D871BA" w:rsidRPr="00611468" w:rsidRDefault="00D871BA" w:rsidP="00D871BA">
      <w:pPr>
        <w:spacing w:before="120" w:after="0" w:line="264" w:lineRule="auto"/>
        <w:rPr>
          <w:sz w:val="24"/>
          <w:szCs w:val="24"/>
        </w:rPr>
      </w:pPr>
      <w:r w:rsidRPr="00611468">
        <w:rPr>
          <w:sz w:val="24"/>
          <w:szCs w:val="24"/>
        </w:rPr>
        <w:t>Tereny inwestycyjne w centrum miasta pełnią rolę katalizatorów procesów odnowy: umożliwiają lokalizację nowych mieszkań, usług, przestrzeni publicznych i przedsięwzięć gospodarczych oraz pozwalają na uporządkowanie i skonsolidowanie zabudowy. Prawo pierwokupu daje gminie realne narzędzie do: (i) zapobiegania rozproszonej, niekontrolowanej i nieskoordynowanej zabudowie, która mogłaby podkopywać spójność planu rewitalizacyjnego; (ii) gromadzenia parceli niezbędnych do realizacji dużych i kompleksowych projektów (np. adaptacji pałacu i zagospodarowania parku, stworzenia uzbrojonych terenów inwestycyjnych, budowy mieszkań komunalnych czy realizacji infrastruktury towarzyszącej); oraz (iii) przeciwdziałania spekulacji gruntami, która może podnosić koszty rewitalizacji i wykluczać realizację przedsięwzięć o charakterze publicznym lub społecznie użytecznym.</w:t>
      </w:r>
    </w:p>
    <w:p w14:paraId="167BA6D1" w14:textId="77777777" w:rsidR="00D871BA" w:rsidRDefault="00D871BA" w:rsidP="00D871BA">
      <w:pPr>
        <w:spacing w:before="120" w:after="0" w:line="264" w:lineRule="auto"/>
        <w:rPr>
          <w:sz w:val="24"/>
          <w:szCs w:val="24"/>
        </w:rPr>
      </w:pPr>
      <w:r w:rsidRPr="00611468">
        <w:rPr>
          <w:sz w:val="24"/>
          <w:szCs w:val="24"/>
        </w:rPr>
        <w:t>Wybór obszaru śródmiejskiego jako priorytetowego dla prawa pierwokupu znajduje uzasadnienie w diagnozie stanu gminy: centrum miejskie kumuluje najsilniejsze zaniedbania przestrzenno-funkcjonalne i techniczne, a jednocześnie posiada największy potencjał efektu katalitycznego — skoordynowana interwencja w tej strefie przyniesie najszybsze i najszerzej odczuwalne korzyści społeczne i gospodarcze dla mieszkańców całej gminy.</w:t>
      </w:r>
      <w:r>
        <w:rPr>
          <w:sz w:val="24"/>
          <w:szCs w:val="24"/>
        </w:rPr>
        <w:t xml:space="preserve"> </w:t>
      </w:r>
    </w:p>
    <w:p w14:paraId="20BB622A" w14:textId="77777777" w:rsidR="00D871BA" w:rsidRDefault="00D871BA" w:rsidP="00D871BA">
      <w:pPr>
        <w:spacing w:before="120" w:after="0" w:line="264" w:lineRule="auto"/>
        <w:rPr>
          <w:sz w:val="24"/>
          <w:szCs w:val="24"/>
        </w:rPr>
      </w:pPr>
      <w:r w:rsidRPr="00611468">
        <w:rPr>
          <w:sz w:val="24"/>
          <w:szCs w:val="24"/>
        </w:rPr>
        <w:t>Wprowadzenie prawa pierwokupu będzie jednocześnie ograniczone i przejrzyste: będzie dotyczyło wyraźnie wskazanych nieruchomości lub kategorii nieruchomości o charakterze inwestycyjnym na obszarze rewitalizacji; wykonanie prawa pierwokupu będzie następowało na warunkach rynkowych z zachowaniem zasad odszkodowania i jawności; ponadto prawo to ma służyć realizacji zadań określonych w programie rewitalizacji i będzie stosowane w sposób proporcjonalny, z zachowaniem procedur konsultacyjnych i mechanizmów kontroli. Takie rozwiązanie zapewnia równowagę między uprawnieniami właścicieli a koniecznością prowadzenia polityki przestrzennej służącej dobru wspólnemu i efektywnej realizacji celów rewitalizacji centrum Krośniewic.</w:t>
      </w:r>
    </w:p>
    <w:p w14:paraId="64648937" w14:textId="7F44088C" w:rsidR="00BF4FFC" w:rsidRPr="00905E84" w:rsidRDefault="009871AE" w:rsidP="009F0A7D">
      <w:pPr>
        <w:spacing w:before="120" w:after="0" w:line="276" w:lineRule="auto"/>
        <w:rPr>
          <w:rFonts w:cs="Calibri"/>
          <w:bCs/>
          <w:sz w:val="24"/>
          <w:szCs w:val="24"/>
        </w:rPr>
      </w:pPr>
      <w:r>
        <w:rPr>
          <w:sz w:val="24"/>
          <w:szCs w:val="24"/>
        </w:rPr>
        <w:t xml:space="preserve">Po podjęciu uchwały Rady Gminy o wyznaczeniu obszaru zdegradowanego i obszaru rewitalizacji, Rada </w:t>
      </w:r>
      <w:r w:rsidR="007A030F">
        <w:rPr>
          <w:sz w:val="24"/>
          <w:szCs w:val="24"/>
        </w:rPr>
        <w:t>Miejska w Krośniewicach</w:t>
      </w:r>
      <w:r w:rsidR="005E601D">
        <w:rPr>
          <w:sz w:val="24"/>
          <w:szCs w:val="24"/>
        </w:rPr>
        <w:t xml:space="preserve"> </w:t>
      </w:r>
      <w:r>
        <w:rPr>
          <w:sz w:val="24"/>
          <w:szCs w:val="24"/>
        </w:rPr>
        <w:t>powinna podjąć uchwałę o przystąpieniu do sporządzenia Gminnego Programu Rewitalizacji Gminy</w:t>
      </w:r>
      <w:r w:rsidR="00E75337">
        <w:rPr>
          <w:sz w:val="24"/>
          <w:szCs w:val="24"/>
        </w:rPr>
        <w:t xml:space="preserve"> </w:t>
      </w:r>
      <w:r>
        <w:rPr>
          <w:sz w:val="24"/>
          <w:szCs w:val="24"/>
        </w:rPr>
        <w:t>(art. 17 ust. 1 ustawy o rewitalizacji) oraz – po odbyciu konsultacji społecznych i uzgodnieniu projektu z właściwymi podmiotami - uchwałę w sprawie przyjęcia programu rewitalizacji (art. 14 ust. 1, art. 19 i art. 23 ust. 1 ustawy o rewitalizacji). Następnym etapem będzie wystąpienie do Zarządu Województwa z wnioskiem o wpis</w:t>
      </w:r>
      <w:r w:rsidR="00001C69">
        <w:rPr>
          <w:sz w:val="24"/>
          <w:szCs w:val="24"/>
        </w:rPr>
        <w:t>anie</w:t>
      </w:r>
      <w:r>
        <w:rPr>
          <w:sz w:val="24"/>
          <w:szCs w:val="24"/>
        </w:rPr>
        <w:t xml:space="preserve"> programu do wykazu programów rewitalizacji woj</w:t>
      </w:r>
      <w:r w:rsidR="00001C69">
        <w:rPr>
          <w:sz w:val="24"/>
          <w:szCs w:val="24"/>
        </w:rPr>
        <w:t>ewództwa</w:t>
      </w:r>
      <w:r>
        <w:rPr>
          <w:sz w:val="24"/>
          <w:szCs w:val="24"/>
        </w:rPr>
        <w:t xml:space="preserve"> </w:t>
      </w:r>
      <w:r w:rsidR="007A030F">
        <w:rPr>
          <w:sz w:val="24"/>
          <w:szCs w:val="24"/>
        </w:rPr>
        <w:t>łódzkiego</w:t>
      </w:r>
      <w:r w:rsidR="005E601D">
        <w:rPr>
          <w:sz w:val="24"/>
          <w:szCs w:val="24"/>
        </w:rPr>
        <w:t xml:space="preserve">. </w:t>
      </w:r>
      <w:r w:rsidR="009F0A7D">
        <w:rPr>
          <w:sz w:val="24"/>
          <w:szCs w:val="24"/>
        </w:rPr>
        <w:t xml:space="preserve"> </w:t>
      </w:r>
      <w:r>
        <w:rPr>
          <w:sz w:val="24"/>
          <w:szCs w:val="24"/>
        </w:rPr>
        <w:t xml:space="preserve"> </w:t>
      </w:r>
    </w:p>
    <w:p w14:paraId="58623E4B" w14:textId="26260624" w:rsidR="00BF4FFC" w:rsidRDefault="009871AE" w:rsidP="003D2355">
      <w:pPr>
        <w:pStyle w:val="Nagwek2"/>
      </w:pPr>
      <w:bookmarkStart w:id="294" w:name="_Toc59918621"/>
      <w:bookmarkStart w:id="295" w:name="_Toc64132860"/>
      <w:bookmarkStart w:id="296" w:name="_Toc67141088"/>
      <w:bookmarkStart w:id="297" w:name="_Toc67307390"/>
      <w:bookmarkStart w:id="298" w:name="_Toc67310293"/>
      <w:bookmarkStart w:id="299" w:name="_Toc97015016"/>
      <w:bookmarkStart w:id="300" w:name="_Toc97100750"/>
      <w:bookmarkStart w:id="301" w:name="_Toc97364992"/>
      <w:bookmarkStart w:id="302" w:name="_Toc97365038"/>
      <w:bookmarkStart w:id="303" w:name="_Toc108591680"/>
      <w:bookmarkStart w:id="304" w:name="_Toc108592692"/>
      <w:bookmarkStart w:id="305" w:name="_Toc108592757"/>
      <w:bookmarkStart w:id="306" w:name="_Toc133584143"/>
      <w:bookmarkStart w:id="307" w:name="_Toc138666217"/>
      <w:bookmarkStart w:id="308" w:name="_Toc219271395"/>
      <w:r>
        <w:lastRenderedPageBreak/>
        <w:t>Spis ilustracji</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t xml:space="preserve"> </w:t>
      </w:r>
    </w:p>
    <w:p w14:paraId="4BFCA9D3" w14:textId="77777777" w:rsidR="00BF4FFC" w:rsidRPr="009F0A7D" w:rsidRDefault="009871AE">
      <w:pPr>
        <w:spacing w:before="240" w:after="120" w:line="264" w:lineRule="auto"/>
      </w:pPr>
      <w:r w:rsidRPr="009F0A7D">
        <w:rPr>
          <w:b/>
        </w:rPr>
        <w:t xml:space="preserve">Spis tabel </w:t>
      </w:r>
    </w:p>
    <w:p w14:paraId="42BE1621" w14:textId="0FB57664" w:rsidR="001328FC" w:rsidRDefault="003D0239">
      <w:pPr>
        <w:pStyle w:val="Spisilustracji"/>
        <w:tabs>
          <w:tab w:val="right" w:leader="dot" w:pos="9854"/>
        </w:tabs>
        <w:rPr>
          <w:rFonts w:asciiTheme="minorHAnsi" w:eastAsiaTheme="minorEastAsia" w:hAnsiTheme="minorHAnsi" w:cstheme="minorBidi"/>
          <w:noProof/>
          <w:kern w:val="2"/>
          <w:sz w:val="24"/>
          <w:szCs w:val="24"/>
          <w:lang w:eastAsia="pl-PL"/>
          <w14:ligatures w14:val="standardContextual"/>
        </w:rPr>
      </w:pPr>
      <w:r>
        <w:rPr>
          <w:b/>
          <w:color w:val="833C0B" w:themeColor="accent2" w:themeShade="80"/>
        </w:rPr>
        <w:fldChar w:fldCharType="begin"/>
      </w:r>
      <w:r>
        <w:rPr>
          <w:b/>
          <w:color w:val="833C0B" w:themeColor="accent2" w:themeShade="80"/>
        </w:rPr>
        <w:instrText xml:space="preserve"> TOC \h \z \c "Tabela" </w:instrText>
      </w:r>
      <w:r>
        <w:rPr>
          <w:b/>
          <w:color w:val="833C0B" w:themeColor="accent2" w:themeShade="80"/>
        </w:rPr>
        <w:fldChar w:fldCharType="separate"/>
      </w:r>
      <w:hyperlink w:anchor="_Toc219274337" w:history="1">
        <w:r w:rsidR="001328FC" w:rsidRPr="00932803">
          <w:rPr>
            <w:rStyle w:val="Hipercze"/>
            <w:noProof/>
          </w:rPr>
          <w:t>Tabela 1. Podział administracyjny Gminy Krośniewice na osiedla i sołectwa wg. danych za 2024 rok</w:t>
        </w:r>
        <w:r w:rsidR="001328FC">
          <w:rPr>
            <w:noProof/>
            <w:webHidden/>
          </w:rPr>
          <w:tab/>
        </w:r>
        <w:r w:rsidR="001328FC">
          <w:rPr>
            <w:noProof/>
            <w:webHidden/>
          </w:rPr>
          <w:fldChar w:fldCharType="begin"/>
        </w:r>
        <w:r w:rsidR="001328FC">
          <w:rPr>
            <w:noProof/>
            <w:webHidden/>
          </w:rPr>
          <w:instrText xml:space="preserve"> PAGEREF _Toc219274337 \h </w:instrText>
        </w:r>
        <w:r w:rsidR="001328FC">
          <w:rPr>
            <w:noProof/>
            <w:webHidden/>
          </w:rPr>
        </w:r>
        <w:r w:rsidR="001328FC">
          <w:rPr>
            <w:noProof/>
            <w:webHidden/>
          </w:rPr>
          <w:fldChar w:fldCharType="separate"/>
        </w:r>
        <w:r w:rsidR="001328FC">
          <w:rPr>
            <w:noProof/>
            <w:webHidden/>
          </w:rPr>
          <w:t>10</w:t>
        </w:r>
        <w:r w:rsidR="001328FC">
          <w:rPr>
            <w:noProof/>
            <w:webHidden/>
          </w:rPr>
          <w:fldChar w:fldCharType="end"/>
        </w:r>
      </w:hyperlink>
    </w:p>
    <w:p w14:paraId="1163C5DC" w14:textId="6B7ABF16" w:rsidR="001328FC" w:rsidRDefault="001328FC">
      <w:pPr>
        <w:pStyle w:val="Spisilustracji"/>
        <w:tabs>
          <w:tab w:val="right" w:leader="dot" w:pos="9854"/>
        </w:tabs>
        <w:rPr>
          <w:rFonts w:asciiTheme="minorHAnsi" w:eastAsiaTheme="minorEastAsia" w:hAnsiTheme="minorHAnsi" w:cstheme="minorBidi"/>
          <w:noProof/>
          <w:kern w:val="2"/>
          <w:sz w:val="24"/>
          <w:szCs w:val="24"/>
          <w:lang w:eastAsia="pl-PL"/>
          <w14:ligatures w14:val="standardContextual"/>
        </w:rPr>
      </w:pPr>
      <w:hyperlink w:anchor="_Toc219274338" w:history="1">
        <w:r w:rsidRPr="00932803">
          <w:rPr>
            <w:rStyle w:val="Hipercze"/>
            <w:noProof/>
          </w:rPr>
          <w:t>Tabela 2. Wskaźniki wykorzystane do oceny społeczno-gospodarczych w diagnozie delimitacyjnej w celu wyznaczenia obszaru zdegradowanego i obszaru rewitalizacji w Gminie Krośniewice</w:t>
        </w:r>
        <w:r>
          <w:rPr>
            <w:noProof/>
            <w:webHidden/>
          </w:rPr>
          <w:tab/>
        </w:r>
        <w:r>
          <w:rPr>
            <w:noProof/>
            <w:webHidden/>
          </w:rPr>
          <w:fldChar w:fldCharType="begin"/>
        </w:r>
        <w:r>
          <w:rPr>
            <w:noProof/>
            <w:webHidden/>
          </w:rPr>
          <w:instrText xml:space="preserve"> PAGEREF _Toc219274338 \h </w:instrText>
        </w:r>
        <w:r>
          <w:rPr>
            <w:noProof/>
            <w:webHidden/>
          </w:rPr>
        </w:r>
        <w:r>
          <w:rPr>
            <w:noProof/>
            <w:webHidden/>
          </w:rPr>
          <w:fldChar w:fldCharType="separate"/>
        </w:r>
        <w:r>
          <w:rPr>
            <w:noProof/>
            <w:webHidden/>
          </w:rPr>
          <w:t>15</w:t>
        </w:r>
        <w:r>
          <w:rPr>
            <w:noProof/>
            <w:webHidden/>
          </w:rPr>
          <w:fldChar w:fldCharType="end"/>
        </w:r>
      </w:hyperlink>
    </w:p>
    <w:p w14:paraId="3BAA428B" w14:textId="5D40B334" w:rsidR="001328FC" w:rsidRDefault="001328FC">
      <w:pPr>
        <w:pStyle w:val="Spisilustracji"/>
        <w:tabs>
          <w:tab w:val="right" w:leader="dot" w:pos="9854"/>
        </w:tabs>
        <w:rPr>
          <w:rFonts w:asciiTheme="minorHAnsi" w:eastAsiaTheme="minorEastAsia" w:hAnsiTheme="minorHAnsi" w:cstheme="minorBidi"/>
          <w:noProof/>
          <w:kern w:val="2"/>
          <w:sz w:val="24"/>
          <w:szCs w:val="24"/>
          <w:lang w:eastAsia="pl-PL"/>
          <w14:ligatures w14:val="standardContextual"/>
        </w:rPr>
      </w:pPr>
      <w:hyperlink w:anchor="_Toc219274339" w:history="1">
        <w:r w:rsidRPr="00932803">
          <w:rPr>
            <w:rStyle w:val="Hipercze"/>
            <w:noProof/>
          </w:rPr>
          <w:t>Tabela 3. Wykaz obwodów wyborczych i frekwencja do wyborów samorządowych 2024 w Gminie Krośniewice, wybory do Rady Miejskiej w Krośniewicach</w:t>
        </w:r>
        <w:r>
          <w:rPr>
            <w:noProof/>
            <w:webHidden/>
          </w:rPr>
          <w:tab/>
        </w:r>
        <w:r>
          <w:rPr>
            <w:noProof/>
            <w:webHidden/>
          </w:rPr>
          <w:fldChar w:fldCharType="begin"/>
        </w:r>
        <w:r>
          <w:rPr>
            <w:noProof/>
            <w:webHidden/>
          </w:rPr>
          <w:instrText xml:space="preserve"> PAGEREF _Toc219274339 \h </w:instrText>
        </w:r>
        <w:r>
          <w:rPr>
            <w:noProof/>
            <w:webHidden/>
          </w:rPr>
        </w:r>
        <w:r>
          <w:rPr>
            <w:noProof/>
            <w:webHidden/>
          </w:rPr>
          <w:fldChar w:fldCharType="separate"/>
        </w:r>
        <w:r>
          <w:rPr>
            <w:noProof/>
            <w:webHidden/>
          </w:rPr>
          <w:t>23</w:t>
        </w:r>
        <w:r>
          <w:rPr>
            <w:noProof/>
            <w:webHidden/>
          </w:rPr>
          <w:fldChar w:fldCharType="end"/>
        </w:r>
      </w:hyperlink>
    </w:p>
    <w:p w14:paraId="0DC79C20" w14:textId="0F01A7EC" w:rsidR="001328FC" w:rsidRDefault="001328FC">
      <w:pPr>
        <w:pStyle w:val="Spisilustracji"/>
        <w:tabs>
          <w:tab w:val="right" w:leader="dot" w:pos="9854"/>
        </w:tabs>
        <w:rPr>
          <w:rFonts w:asciiTheme="minorHAnsi" w:eastAsiaTheme="minorEastAsia" w:hAnsiTheme="minorHAnsi" w:cstheme="minorBidi"/>
          <w:noProof/>
          <w:kern w:val="2"/>
          <w:sz w:val="24"/>
          <w:szCs w:val="24"/>
          <w:lang w:eastAsia="pl-PL"/>
          <w14:ligatures w14:val="standardContextual"/>
        </w:rPr>
      </w:pPr>
      <w:hyperlink w:anchor="_Toc219274340" w:history="1">
        <w:r w:rsidRPr="00932803">
          <w:rPr>
            <w:rStyle w:val="Hipercze"/>
            <w:noProof/>
          </w:rPr>
          <w:t>Tabela 4. Analiza uwarunkowań społecznych w Gminie Krośniewice na podstawie wskaźników na podstawie wskaźników specyficznych dla sfery społecznej</w:t>
        </w:r>
        <w:r>
          <w:rPr>
            <w:noProof/>
            <w:webHidden/>
          </w:rPr>
          <w:tab/>
        </w:r>
        <w:r>
          <w:rPr>
            <w:noProof/>
            <w:webHidden/>
          </w:rPr>
          <w:fldChar w:fldCharType="begin"/>
        </w:r>
        <w:r>
          <w:rPr>
            <w:noProof/>
            <w:webHidden/>
          </w:rPr>
          <w:instrText xml:space="preserve"> PAGEREF _Toc219274340 \h </w:instrText>
        </w:r>
        <w:r>
          <w:rPr>
            <w:noProof/>
            <w:webHidden/>
          </w:rPr>
        </w:r>
        <w:r>
          <w:rPr>
            <w:noProof/>
            <w:webHidden/>
          </w:rPr>
          <w:fldChar w:fldCharType="separate"/>
        </w:r>
        <w:r>
          <w:rPr>
            <w:noProof/>
            <w:webHidden/>
          </w:rPr>
          <w:t>30</w:t>
        </w:r>
        <w:r>
          <w:rPr>
            <w:noProof/>
            <w:webHidden/>
          </w:rPr>
          <w:fldChar w:fldCharType="end"/>
        </w:r>
      </w:hyperlink>
    </w:p>
    <w:p w14:paraId="3DBD31FF" w14:textId="38DBC774" w:rsidR="001328FC" w:rsidRDefault="001328FC">
      <w:pPr>
        <w:pStyle w:val="Spisilustracji"/>
        <w:tabs>
          <w:tab w:val="right" w:leader="dot" w:pos="9854"/>
        </w:tabs>
        <w:rPr>
          <w:rFonts w:asciiTheme="minorHAnsi" w:eastAsiaTheme="minorEastAsia" w:hAnsiTheme="minorHAnsi" w:cstheme="minorBidi"/>
          <w:noProof/>
          <w:kern w:val="2"/>
          <w:sz w:val="24"/>
          <w:szCs w:val="24"/>
          <w:lang w:eastAsia="pl-PL"/>
          <w14:ligatures w14:val="standardContextual"/>
        </w:rPr>
      </w:pPr>
      <w:hyperlink w:anchor="_Toc219274341" w:history="1">
        <w:r w:rsidRPr="00932803">
          <w:rPr>
            <w:rStyle w:val="Hipercze"/>
            <w:noProof/>
          </w:rPr>
          <w:t>Tabela 5. Analiza uwarunkowań gospodarczych w Gminie Krośniewice na podstawie wskaźników specyficznych dla sfery gospodarczej</w:t>
        </w:r>
        <w:r>
          <w:rPr>
            <w:noProof/>
            <w:webHidden/>
          </w:rPr>
          <w:tab/>
        </w:r>
        <w:r>
          <w:rPr>
            <w:noProof/>
            <w:webHidden/>
          </w:rPr>
          <w:fldChar w:fldCharType="begin"/>
        </w:r>
        <w:r>
          <w:rPr>
            <w:noProof/>
            <w:webHidden/>
          </w:rPr>
          <w:instrText xml:space="preserve"> PAGEREF _Toc219274341 \h </w:instrText>
        </w:r>
        <w:r>
          <w:rPr>
            <w:noProof/>
            <w:webHidden/>
          </w:rPr>
        </w:r>
        <w:r>
          <w:rPr>
            <w:noProof/>
            <w:webHidden/>
          </w:rPr>
          <w:fldChar w:fldCharType="separate"/>
        </w:r>
        <w:r>
          <w:rPr>
            <w:noProof/>
            <w:webHidden/>
          </w:rPr>
          <w:t>34</w:t>
        </w:r>
        <w:r>
          <w:rPr>
            <w:noProof/>
            <w:webHidden/>
          </w:rPr>
          <w:fldChar w:fldCharType="end"/>
        </w:r>
      </w:hyperlink>
    </w:p>
    <w:p w14:paraId="1E33CA39" w14:textId="4E819E5A" w:rsidR="001328FC" w:rsidRDefault="001328FC">
      <w:pPr>
        <w:pStyle w:val="Spisilustracji"/>
        <w:tabs>
          <w:tab w:val="right" w:leader="dot" w:pos="9854"/>
        </w:tabs>
        <w:rPr>
          <w:rFonts w:asciiTheme="minorHAnsi" w:eastAsiaTheme="minorEastAsia" w:hAnsiTheme="minorHAnsi" w:cstheme="minorBidi"/>
          <w:noProof/>
          <w:kern w:val="2"/>
          <w:sz w:val="24"/>
          <w:szCs w:val="24"/>
          <w:lang w:eastAsia="pl-PL"/>
          <w14:ligatures w14:val="standardContextual"/>
        </w:rPr>
      </w:pPr>
      <w:hyperlink w:anchor="_Toc219274342" w:history="1">
        <w:r w:rsidRPr="00932803">
          <w:rPr>
            <w:rStyle w:val="Hipercze"/>
            <w:noProof/>
          </w:rPr>
          <w:t>Tabela 6. Analiza uwarunkowań środowiskowych w Gminie Krośniewice na podstawie wskaźników specyficznych dla sfery środowiskowej</w:t>
        </w:r>
        <w:r>
          <w:rPr>
            <w:noProof/>
            <w:webHidden/>
          </w:rPr>
          <w:tab/>
        </w:r>
        <w:r>
          <w:rPr>
            <w:noProof/>
            <w:webHidden/>
          </w:rPr>
          <w:fldChar w:fldCharType="begin"/>
        </w:r>
        <w:r>
          <w:rPr>
            <w:noProof/>
            <w:webHidden/>
          </w:rPr>
          <w:instrText xml:space="preserve"> PAGEREF _Toc219274342 \h </w:instrText>
        </w:r>
        <w:r>
          <w:rPr>
            <w:noProof/>
            <w:webHidden/>
          </w:rPr>
        </w:r>
        <w:r>
          <w:rPr>
            <w:noProof/>
            <w:webHidden/>
          </w:rPr>
          <w:fldChar w:fldCharType="separate"/>
        </w:r>
        <w:r>
          <w:rPr>
            <w:noProof/>
            <w:webHidden/>
          </w:rPr>
          <w:t>40</w:t>
        </w:r>
        <w:r>
          <w:rPr>
            <w:noProof/>
            <w:webHidden/>
          </w:rPr>
          <w:fldChar w:fldCharType="end"/>
        </w:r>
      </w:hyperlink>
    </w:p>
    <w:p w14:paraId="43E1A43B" w14:textId="12CAD1FD" w:rsidR="001328FC" w:rsidRDefault="001328FC">
      <w:pPr>
        <w:pStyle w:val="Spisilustracji"/>
        <w:tabs>
          <w:tab w:val="right" w:leader="dot" w:pos="9854"/>
        </w:tabs>
        <w:rPr>
          <w:rFonts w:asciiTheme="minorHAnsi" w:eastAsiaTheme="minorEastAsia" w:hAnsiTheme="minorHAnsi" w:cstheme="minorBidi"/>
          <w:noProof/>
          <w:kern w:val="2"/>
          <w:sz w:val="24"/>
          <w:szCs w:val="24"/>
          <w:lang w:eastAsia="pl-PL"/>
          <w14:ligatures w14:val="standardContextual"/>
        </w:rPr>
      </w:pPr>
      <w:hyperlink w:anchor="_Toc219274343" w:history="1">
        <w:r w:rsidRPr="00932803">
          <w:rPr>
            <w:rStyle w:val="Hipercze"/>
            <w:noProof/>
          </w:rPr>
          <w:t>Tabela 7. Analiza uwarunkowań przestrzenno-funkcjonalno-technicznych w Gminie Krośniewice na podstawie wskaźników specyficznych dla sfery przestrzenno-funkcjonalno-technicznej</w:t>
        </w:r>
        <w:r>
          <w:rPr>
            <w:noProof/>
            <w:webHidden/>
          </w:rPr>
          <w:tab/>
        </w:r>
        <w:r>
          <w:rPr>
            <w:noProof/>
            <w:webHidden/>
          </w:rPr>
          <w:fldChar w:fldCharType="begin"/>
        </w:r>
        <w:r>
          <w:rPr>
            <w:noProof/>
            <w:webHidden/>
          </w:rPr>
          <w:instrText xml:space="preserve"> PAGEREF _Toc219274343 \h </w:instrText>
        </w:r>
        <w:r>
          <w:rPr>
            <w:noProof/>
            <w:webHidden/>
          </w:rPr>
        </w:r>
        <w:r>
          <w:rPr>
            <w:noProof/>
            <w:webHidden/>
          </w:rPr>
          <w:fldChar w:fldCharType="separate"/>
        </w:r>
        <w:r>
          <w:rPr>
            <w:noProof/>
            <w:webHidden/>
          </w:rPr>
          <w:t>47</w:t>
        </w:r>
        <w:r>
          <w:rPr>
            <w:noProof/>
            <w:webHidden/>
          </w:rPr>
          <w:fldChar w:fldCharType="end"/>
        </w:r>
      </w:hyperlink>
    </w:p>
    <w:p w14:paraId="426635C3" w14:textId="6EB08E9B" w:rsidR="001328FC" w:rsidRDefault="001328FC">
      <w:pPr>
        <w:pStyle w:val="Spisilustracji"/>
        <w:tabs>
          <w:tab w:val="right" w:leader="dot" w:pos="9854"/>
        </w:tabs>
        <w:rPr>
          <w:rFonts w:asciiTheme="minorHAnsi" w:eastAsiaTheme="minorEastAsia" w:hAnsiTheme="minorHAnsi" w:cstheme="minorBidi"/>
          <w:noProof/>
          <w:kern w:val="2"/>
          <w:sz w:val="24"/>
          <w:szCs w:val="24"/>
          <w:lang w:eastAsia="pl-PL"/>
          <w14:ligatures w14:val="standardContextual"/>
        </w:rPr>
      </w:pPr>
      <w:hyperlink w:anchor="_Toc219274344" w:history="1">
        <w:r w:rsidRPr="00932803">
          <w:rPr>
            <w:rStyle w:val="Hipercze"/>
            <w:noProof/>
          </w:rPr>
          <w:t>Tabela 8. Zbiorcza analiza uwarunkowań społecznych, gospodarczych, środowiskowych i przestrzenno-funkcjonalno-technicznych w Gminie Krośniewice</w:t>
        </w:r>
        <w:r>
          <w:rPr>
            <w:noProof/>
            <w:webHidden/>
          </w:rPr>
          <w:tab/>
        </w:r>
        <w:r>
          <w:rPr>
            <w:noProof/>
            <w:webHidden/>
          </w:rPr>
          <w:fldChar w:fldCharType="begin"/>
        </w:r>
        <w:r>
          <w:rPr>
            <w:noProof/>
            <w:webHidden/>
          </w:rPr>
          <w:instrText xml:space="preserve"> PAGEREF _Toc219274344 \h </w:instrText>
        </w:r>
        <w:r>
          <w:rPr>
            <w:noProof/>
            <w:webHidden/>
          </w:rPr>
        </w:r>
        <w:r>
          <w:rPr>
            <w:noProof/>
            <w:webHidden/>
          </w:rPr>
          <w:fldChar w:fldCharType="separate"/>
        </w:r>
        <w:r>
          <w:rPr>
            <w:noProof/>
            <w:webHidden/>
          </w:rPr>
          <w:t>49</w:t>
        </w:r>
        <w:r>
          <w:rPr>
            <w:noProof/>
            <w:webHidden/>
          </w:rPr>
          <w:fldChar w:fldCharType="end"/>
        </w:r>
      </w:hyperlink>
    </w:p>
    <w:p w14:paraId="66295ADF" w14:textId="08B1C211" w:rsidR="001328FC" w:rsidRDefault="001328FC">
      <w:pPr>
        <w:pStyle w:val="Spisilustracji"/>
        <w:tabs>
          <w:tab w:val="right" w:leader="dot" w:pos="9854"/>
        </w:tabs>
        <w:rPr>
          <w:rFonts w:asciiTheme="minorHAnsi" w:eastAsiaTheme="minorEastAsia" w:hAnsiTheme="minorHAnsi" w:cstheme="minorBidi"/>
          <w:noProof/>
          <w:kern w:val="2"/>
          <w:sz w:val="24"/>
          <w:szCs w:val="24"/>
          <w:lang w:eastAsia="pl-PL"/>
          <w14:ligatures w14:val="standardContextual"/>
        </w:rPr>
      </w:pPr>
      <w:hyperlink w:anchor="_Toc219274345" w:history="1">
        <w:r w:rsidRPr="00932803">
          <w:rPr>
            <w:rStyle w:val="Hipercze"/>
            <w:noProof/>
          </w:rPr>
          <w:t>Tabela 9. Prezentacja liczby ludności i powierzchni obszaru zdegradowanego i obszaru rewitalizacji w Gminie Krośniewice w stosunku do limitów ustawy o rewitalizacji</w:t>
        </w:r>
        <w:r>
          <w:rPr>
            <w:noProof/>
            <w:webHidden/>
          </w:rPr>
          <w:tab/>
        </w:r>
        <w:r>
          <w:rPr>
            <w:noProof/>
            <w:webHidden/>
          </w:rPr>
          <w:fldChar w:fldCharType="begin"/>
        </w:r>
        <w:r>
          <w:rPr>
            <w:noProof/>
            <w:webHidden/>
          </w:rPr>
          <w:instrText xml:space="preserve"> PAGEREF _Toc219274345 \h </w:instrText>
        </w:r>
        <w:r>
          <w:rPr>
            <w:noProof/>
            <w:webHidden/>
          </w:rPr>
        </w:r>
        <w:r>
          <w:rPr>
            <w:noProof/>
            <w:webHidden/>
          </w:rPr>
          <w:fldChar w:fldCharType="separate"/>
        </w:r>
        <w:r>
          <w:rPr>
            <w:noProof/>
            <w:webHidden/>
          </w:rPr>
          <w:t>53</w:t>
        </w:r>
        <w:r>
          <w:rPr>
            <w:noProof/>
            <w:webHidden/>
          </w:rPr>
          <w:fldChar w:fldCharType="end"/>
        </w:r>
      </w:hyperlink>
    </w:p>
    <w:p w14:paraId="0C23E151" w14:textId="5B8FFF77" w:rsidR="00BF4FFC" w:rsidRPr="003D0239" w:rsidRDefault="003D0239" w:rsidP="00694436">
      <w:pPr>
        <w:spacing w:before="240" w:after="120" w:line="264" w:lineRule="auto"/>
        <w:rPr>
          <w:b/>
          <w:color w:val="833C0B" w:themeColor="accent2" w:themeShade="80"/>
        </w:rPr>
      </w:pPr>
      <w:r>
        <w:rPr>
          <w:b/>
          <w:color w:val="833C0B" w:themeColor="accent2" w:themeShade="80"/>
        </w:rPr>
        <w:fldChar w:fldCharType="end"/>
      </w:r>
      <w:r w:rsidR="009871AE" w:rsidRPr="009F0A7D">
        <w:rPr>
          <w:b/>
        </w:rPr>
        <w:t xml:space="preserve">Spis rycin  </w:t>
      </w:r>
    </w:p>
    <w:p w14:paraId="1D4B43F6" w14:textId="417A4855" w:rsidR="008503B4" w:rsidRDefault="003D0239">
      <w:pPr>
        <w:pStyle w:val="Spisilustracji"/>
        <w:tabs>
          <w:tab w:val="right" w:leader="dot" w:pos="9854"/>
        </w:tabs>
        <w:rPr>
          <w:rFonts w:asciiTheme="minorHAnsi" w:eastAsiaTheme="minorEastAsia" w:hAnsiTheme="minorHAnsi" w:cstheme="minorBidi"/>
          <w:noProof/>
          <w:kern w:val="2"/>
          <w:sz w:val="24"/>
          <w:szCs w:val="24"/>
          <w:lang w:eastAsia="pl-PL"/>
          <w14:ligatures w14:val="standardContextual"/>
        </w:rPr>
      </w:pPr>
      <w:r>
        <w:rPr>
          <w:b/>
        </w:rPr>
        <w:fldChar w:fldCharType="begin"/>
      </w:r>
      <w:r>
        <w:rPr>
          <w:b/>
        </w:rPr>
        <w:instrText xml:space="preserve"> TOC \h \z \c "Rycina" </w:instrText>
      </w:r>
      <w:r>
        <w:rPr>
          <w:b/>
        </w:rPr>
        <w:fldChar w:fldCharType="separate"/>
      </w:r>
      <w:hyperlink w:anchor="_Toc219274035" w:history="1">
        <w:r w:rsidR="008503B4" w:rsidRPr="006D4BD0">
          <w:rPr>
            <w:rStyle w:val="Hipercze"/>
            <w:noProof/>
          </w:rPr>
          <w:t>Rycina 1. Obszar zdegradowany i obszar rewitalizacji Gminy Krośniewice-mapa poglądowa</w:t>
        </w:r>
        <w:r w:rsidR="008503B4">
          <w:rPr>
            <w:noProof/>
            <w:webHidden/>
          </w:rPr>
          <w:tab/>
        </w:r>
        <w:r w:rsidR="008503B4">
          <w:rPr>
            <w:noProof/>
            <w:webHidden/>
          </w:rPr>
          <w:fldChar w:fldCharType="begin"/>
        </w:r>
        <w:r w:rsidR="008503B4">
          <w:rPr>
            <w:noProof/>
            <w:webHidden/>
          </w:rPr>
          <w:instrText xml:space="preserve"> PAGEREF _Toc219274035 \h </w:instrText>
        </w:r>
        <w:r w:rsidR="008503B4">
          <w:rPr>
            <w:noProof/>
            <w:webHidden/>
          </w:rPr>
        </w:r>
        <w:r w:rsidR="008503B4">
          <w:rPr>
            <w:noProof/>
            <w:webHidden/>
          </w:rPr>
          <w:fldChar w:fldCharType="separate"/>
        </w:r>
        <w:r w:rsidR="008503B4">
          <w:rPr>
            <w:noProof/>
            <w:webHidden/>
          </w:rPr>
          <w:t>53</w:t>
        </w:r>
        <w:r w:rsidR="008503B4">
          <w:rPr>
            <w:noProof/>
            <w:webHidden/>
          </w:rPr>
          <w:fldChar w:fldCharType="end"/>
        </w:r>
      </w:hyperlink>
    </w:p>
    <w:p w14:paraId="247B21A6" w14:textId="6B7AF926" w:rsidR="00BF4FFC" w:rsidRPr="005E601D" w:rsidRDefault="003D0239" w:rsidP="005E601D">
      <w:pPr>
        <w:spacing w:before="240" w:after="0" w:line="264" w:lineRule="auto"/>
        <w:rPr>
          <w:b/>
        </w:rPr>
      </w:pPr>
      <w:r>
        <w:rPr>
          <w:b/>
        </w:rPr>
        <w:fldChar w:fldCharType="end"/>
      </w:r>
    </w:p>
    <w:sectPr w:rsidR="00BF4FFC" w:rsidRPr="005E601D" w:rsidSect="00895A36">
      <w:footerReference w:type="default" r:id="rId15"/>
      <w:pgSz w:w="11906" w:h="16838"/>
      <w:pgMar w:top="1134" w:right="1021" w:bottom="1134" w:left="102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4C6F9" w14:textId="77777777" w:rsidR="002C5F11" w:rsidRDefault="002C5F11">
      <w:pPr>
        <w:spacing w:after="0"/>
      </w:pPr>
      <w:r>
        <w:separator/>
      </w:r>
    </w:p>
  </w:endnote>
  <w:endnote w:type="continuationSeparator" w:id="0">
    <w:p w14:paraId="123EED2C" w14:textId="77777777" w:rsidR="002C5F11" w:rsidRDefault="002C5F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DejaVuSans">
    <w:altName w:val="Yu Gothic"/>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ndale Sans UI">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4537760"/>
      <w:docPartObj>
        <w:docPartGallery w:val="Page Numbers (Bottom of Page)"/>
        <w:docPartUnique/>
      </w:docPartObj>
    </w:sdtPr>
    <w:sdtEndPr/>
    <w:sdtContent>
      <w:sdt>
        <w:sdtPr>
          <w:id w:val="-1030496127"/>
          <w:docPartObj>
            <w:docPartGallery w:val="Page Numbers (Top of Page)"/>
            <w:docPartUnique/>
          </w:docPartObj>
        </w:sdtPr>
        <w:sdtEndPr/>
        <w:sdtContent>
          <w:p w14:paraId="163551E0" w14:textId="057C5428" w:rsidR="009871AE" w:rsidRDefault="00446C54" w:rsidP="00446C54">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6189D" w14:textId="77777777" w:rsidR="009871AE" w:rsidRDefault="009871AE">
    <w:pPr>
      <w:pStyle w:val="Stopka"/>
      <w:jc w:val="center"/>
    </w:pP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sidR="00D36E5A">
      <w:rPr>
        <w:rFonts w:ascii="Arial Narrow" w:hAnsi="Arial Narrow"/>
        <w:noProof/>
      </w:rPr>
      <w:t>23</w:t>
    </w:r>
    <w:r>
      <w:rPr>
        <w:rFonts w:ascii="Arial Narrow" w:hAnsi="Arial Narro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2955187"/>
      <w:docPartObj>
        <w:docPartGallery w:val="Page Numbers (Bottom of Page)"/>
        <w:docPartUnique/>
      </w:docPartObj>
    </w:sdtPr>
    <w:sdtEndPr/>
    <w:sdtContent>
      <w:sdt>
        <w:sdtPr>
          <w:id w:val="-1068964891"/>
          <w:docPartObj>
            <w:docPartGallery w:val="Page Numbers (Top of Page)"/>
            <w:docPartUnique/>
          </w:docPartObj>
        </w:sdtPr>
        <w:sdtEndPr/>
        <w:sdtContent>
          <w:p w14:paraId="7C68E87D" w14:textId="04D784ED" w:rsidR="009871AE" w:rsidRDefault="001E67A2" w:rsidP="001E67A2">
            <w:pPr>
              <w:pStyle w:val="Stopka"/>
              <w:jc w:val="center"/>
            </w:pPr>
            <w:r w:rsidRPr="001E67A2">
              <w:t xml:space="preserve">Strona </w:t>
            </w:r>
            <w:r w:rsidRPr="001E67A2">
              <w:rPr>
                <w:b/>
                <w:bCs/>
              </w:rPr>
              <w:fldChar w:fldCharType="begin"/>
            </w:r>
            <w:r w:rsidRPr="001E67A2">
              <w:rPr>
                <w:b/>
                <w:bCs/>
              </w:rPr>
              <w:instrText>PAGE</w:instrText>
            </w:r>
            <w:r w:rsidRPr="001E67A2">
              <w:rPr>
                <w:b/>
                <w:bCs/>
              </w:rPr>
              <w:fldChar w:fldCharType="separate"/>
            </w:r>
            <w:r w:rsidRPr="001E67A2">
              <w:rPr>
                <w:b/>
                <w:bCs/>
              </w:rPr>
              <w:t>2</w:t>
            </w:r>
            <w:r w:rsidRPr="001E67A2">
              <w:rPr>
                <w:b/>
                <w:bCs/>
              </w:rPr>
              <w:fldChar w:fldCharType="end"/>
            </w:r>
            <w:r w:rsidRPr="001E67A2">
              <w:t xml:space="preserve"> z </w:t>
            </w:r>
            <w:r w:rsidRPr="001E67A2">
              <w:rPr>
                <w:b/>
                <w:bCs/>
              </w:rPr>
              <w:fldChar w:fldCharType="begin"/>
            </w:r>
            <w:r w:rsidRPr="001E67A2">
              <w:rPr>
                <w:b/>
                <w:bCs/>
              </w:rPr>
              <w:instrText>NUMPAGES</w:instrText>
            </w:r>
            <w:r w:rsidRPr="001E67A2">
              <w:rPr>
                <w:b/>
                <w:bCs/>
              </w:rPr>
              <w:fldChar w:fldCharType="separate"/>
            </w:r>
            <w:r w:rsidRPr="001E67A2">
              <w:rPr>
                <w:b/>
                <w:bCs/>
              </w:rPr>
              <w:t>2</w:t>
            </w:r>
            <w:r w:rsidRPr="001E67A2">
              <w:rPr>
                <w:b/>
                <w:bCs/>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3786533"/>
      <w:docPartObj>
        <w:docPartGallery w:val="Page Numbers (Bottom of Page)"/>
        <w:docPartUnique/>
      </w:docPartObj>
    </w:sdtPr>
    <w:sdtEndPr/>
    <w:sdtContent>
      <w:sdt>
        <w:sdtPr>
          <w:id w:val="-1244023624"/>
          <w:docPartObj>
            <w:docPartGallery w:val="Page Numbers (Top of Page)"/>
            <w:docPartUnique/>
          </w:docPartObj>
        </w:sdtPr>
        <w:sdtEndPr/>
        <w:sdtContent>
          <w:p w14:paraId="62E00921" w14:textId="0BDD321E" w:rsidR="009871AE" w:rsidRDefault="00E54E13" w:rsidP="00E54E13">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AAAE5" w14:textId="77777777" w:rsidR="002C5F11" w:rsidRDefault="002C5F11">
      <w:pPr>
        <w:spacing w:after="0"/>
      </w:pPr>
      <w:r>
        <w:rPr>
          <w:color w:val="000000"/>
        </w:rPr>
        <w:separator/>
      </w:r>
    </w:p>
  </w:footnote>
  <w:footnote w:type="continuationSeparator" w:id="0">
    <w:p w14:paraId="24602E3F" w14:textId="77777777" w:rsidR="002C5F11" w:rsidRDefault="002C5F11">
      <w:pPr>
        <w:spacing w:after="0"/>
      </w:pPr>
      <w:r>
        <w:continuationSeparator/>
      </w:r>
    </w:p>
  </w:footnote>
  <w:footnote w:id="1">
    <w:p w14:paraId="52525784" w14:textId="77777777" w:rsidR="002E16DF" w:rsidRDefault="004A7CBA" w:rsidP="00784BB6">
      <w:pPr>
        <w:pStyle w:val="Tekstprzypisudolnego"/>
        <w:jc w:val="left"/>
      </w:pPr>
      <w:r w:rsidRPr="002B3FED">
        <w:rPr>
          <w:rStyle w:val="Odwoanieprzypisudolnego"/>
          <w:rFonts w:asciiTheme="minorHAnsi" w:hAnsiTheme="minorHAnsi" w:cstheme="minorHAnsi"/>
        </w:rPr>
        <w:footnoteRef/>
      </w:r>
      <w:r w:rsidRPr="002B3FED">
        <w:rPr>
          <w:rFonts w:asciiTheme="minorHAnsi" w:hAnsiTheme="minorHAnsi" w:cstheme="minorHAnsi"/>
        </w:rPr>
        <w:t xml:space="preserve"> </w:t>
      </w:r>
      <w:r w:rsidR="005A199E" w:rsidRPr="002B3FED">
        <w:rPr>
          <w:rFonts w:asciiTheme="minorHAnsi" w:hAnsiTheme="minorHAnsi" w:cstheme="minorHAnsi"/>
        </w:rPr>
        <w:t xml:space="preserve">Zob. </w:t>
      </w:r>
      <w:hyperlink r:id="rId1" w:history="1">
        <w:r w:rsidRPr="002B3FED">
          <w:rPr>
            <w:rStyle w:val="Hipercze"/>
            <w:rFonts w:asciiTheme="minorHAnsi" w:hAnsiTheme="minorHAnsi" w:cstheme="minorHAnsi"/>
          </w:rPr>
          <w:t xml:space="preserve">Zasady realizacji instrumentów terytorialnych </w:t>
        </w:r>
      </w:hyperlink>
    </w:p>
    <w:p w14:paraId="77DF4543" w14:textId="25EB636F" w:rsidR="005A199E" w:rsidRPr="002E16DF" w:rsidRDefault="005A199E" w:rsidP="00784BB6">
      <w:pPr>
        <w:pStyle w:val="Tekstprzypisudolnego"/>
        <w:jc w:val="left"/>
        <w:rPr>
          <w:rFonts w:asciiTheme="minorHAnsi" w:hAnsiTheme="minorHAnsi" w:cstheme="minorHAnsi"/>
          <w:color w:val="0563C1"/>
        </w:rPr>
      </w:pPr>
      <w:r w:rsidRPr="00784BB6">
        <w:rPr>
          <w:rFonts w:asciiTheme="minorHAnsi" w:hAnsiTheme="minorHAnsi" w:cstheme="minorHAnsi"/>
        </w:rPr>
        <w:t xml:space="preserve">Warunki jakie spełniać ma strategia IIT określa w szczególności art. 36 ust. 8 ustawy z dnia 28 kwietnia 2022 r. o zasadach </w:t>
      </w:r>
      <w:r w:rsidRPr="00C24CDF">
        <w:rPr>
          <w:rFonts w:ascii="Calibri" w:hAnsi="Calibri" w:cs="Calibri"/>
        </w:rPr>
        <w:t>realizacji zadań finansowanych ze środków europejskich w perspektywie finansowej 2021–2027</w:t>
      </w:r>
    </w:p>
  </w:footnote>
  <w:footnote w:id="2">
    <w:p w14:paraId="1BE7E848" w14:textId="0E6BD412" w:rsidR="009943D1" w:rsidRPr="009943D1" w:rsidRDefault="009943D1" w:rsidP="003D3512">
      <w:pPr>
        <w:pStyle w:val="Tekstprzypisudolnego"/>
        <w:jc w:val="left"/>
        <w:rPr>
          <w:rFonts w:asciiTheme="minorHAnsi" w:hAnsiTheme="minorHAnsi" w:cstheme="minorHAnsi"/>
        </w:rPr>
      </w:pPr>
      <w:r w:rsidRPr="009943D1">
        <w:rPr>
          <w:rStyle w:val="Odwoanieprzypisudolnego"/>
          <w:rFonts w:asciiTheme="minorHAnsi" w:hAnsiTheme="minorHAnsi" w:cstheme="minorHAnsi"/>
        </w:rPr>
        <w:footnoteRef/>
      </w:r>
      <w:r w:rsidRPr="009943D1">
        <w:rPr>
          <w:rFonts w:asciiTheme="minorHAnsi" w:hAnsiTheme="minorHAnsi" w:cstheme="minorHAnsi"/>
        </w:rPr>
        <w:t xml:space="preserve"> Por. </w:t>
      </w:r>
      <w:hyperlink r:id="rId2" w:history="1">
        <w:r w:rsidR="003D3512" w:rsidRPr="00DA6836">
          <w:rPr>
            <w:rStyle w:val="Hipercze"/>
            <w:rFonts w:asciiTheme="minorHAnsi" w:hAnsiTheme="minorHAnsi" w:cstheme="minorHAnsi"/>
          </w:rPr>
          <w:t>https://krosniewice.pl/gmina/fundusze-rzadowe-realizowane-projekty/rzadowy-fundusz-polski-lad-program-inwestycji-strategicznych.html</w:t>
        </w:r>
      </w:hyperlink>
      <w:r w:rsidR="003D3512">
        <w:rPr>
          <w:rFonts w:asciiTheme="minorHAnsi" w:hAnsiTheme="minorHAnsi" w:cstheme="minorHAnsi"/>
        </w:rPr>
        <w:t xml:space="preserve"> </w:t>
      </w:r>
    </w:p>
  </w:footnote>
  <w:footnote w:id="3">
    <w:p w14:paraId="478545FE" w14:textId="1FC077BB" w:rsidR="000D038F" w:rsidRPr="000D038F" w:rsidRDefault="000D038F">
      <w:pPr>
        <w:pStyle w:val="Tekstprzypisudolnego"/>
        <w:rPr>
          <w:rFonts w:asciiTheme="minorHAnsi" w:hAnsiTheme="minorHAnsi" w:cstheme="minorHAnsi"/>
        </w:rPr>
      </w:pPr>
      <w:r w:rsidRPr="000D038F">
        <w:rPr>
          <w:rStyle w:val="Odwoanieprzypisudolnego"/>
          <w:rFonts w:asciiTheme="minorHAnsi" w:hAnsiTheme="minorHAnsi" w:cstheme="minorHAnsi"/>
        </w:rPr>
        <w:footnoteRef/>
      </w:r>
      <w:r w:rsidRPr="000D038F">
        <w:rPr>
          <w:rFonts w:asciiTheme="minorHAnsi" w:hAnsiTheme="minorHAnsi" w:cstheme="minorHAnsi"/>
        </w:rPr>
        <w:t xml:space="preserve"> Patrz. art. 4 ust. 1 ustawy o rewitalizacji </w:t>
      </w:r>
    </w:p>
  </w:footnote>
  <w:footnote w:id="4">
    <w:p w14:paraId="2A4DFF07" w14:textId="480C4810" w:rsidR="000B3B8D" w:rsidRPr="000B3B8D" w:rsidRDefault="000B3B8D" w:rsidP="00784BB6">
      <w:pPr>
        <w:pStyle w:val="Tekstprzypisudolnego"/>
        <w:jc w:val="left"/>
        <w:rPr>
          <w:rFonts w:asciiTheme="minorHAnsi" w:hAnsiTheme="minorHAnsi" w:cstheme="minorHAnsi"/>
        </w:rPr>
      </w:pPr>
      <w:r w:rsidRPr="000D038F">
        <w:rPr>
          <w:rStyle w:val="Odwoanieprzypisudolnego"/>
          <w:rFonts w:asciiTheme="minorHAnsi" w:hAnsiTheme="minorHAnsi" w:cstheme="minorHAnsi"/>
        </w:rPr>
        <w:footnoteRef/>
      </w:r>
      <w:r w:rsidRPr="000D038F">
        <w:rPr>
          <w:rFonts w:asciiTheme="minorHAnsi" w:hAnsiTheme="minorHAnsi" w:cstheme="minorHAnsi"/>
        </w:rPr>
        <w:t xml:space="preserve"> Zob. Delimitacja</w:t>
      </w:r>
      <w:r w:rsidRPr="009943D1">
        <w:rPr>
          <w:rFonts w:asciiTheme="minorHAnsi" w:hAnsiTheme="minorHAnsi" w:cstheme="minorHAnsi"/>
        </w:rPr>
        <w:t xml:space="preserve"> krok po kroku (2019) dostępna na </w:t>
      </w:r>
      <w:hyperlink r:id="rId3" w:history="1">
        <w:r w:rsidRPr="009943D1">
          <w:rPr>
            <w:rStyle w:val="Hipercze"/>
            <w:rFonts w:asciiTheme="minorHAnsi" w:hAnsiTheme="minorHAnsi" w:cstheme="minorHAnsi"/>
          </w:rPr>
          <w:t>delimitacja-krok-po-kroku</w:t>
        </w:r>
      </w:hyperlink>
      <w:r w:rsidRPr="009943D1">
        <w:rPr>
          <w:rFonts w:asciiTheme="minorHAnsi" w:hAnsiTheme="minorHAnsi" w:cstheme="minorHAnsi"/>
        </w:rPr>
        <w:t xml:space="preserve"> </w:t>
      </w:r>
      <w:proofErr w:type="gramStart"/>
      <w:r w:rsidRPr="009943D1">
        <w:rPr>
          <w:rFonts w:asciiTheme="minorHAnsi" w:hAnsiTheme="minorHAnsi" w:cstheme="minorHAnsi"/>
        </w:rPr>
        <w:t>oraz  Gminny</w:t>
      </w:r>
      <w:proofErr w:type="gramEnd"/>
      <w:r w:rsidRPr="009943D1">
        <w:rPr>
          <w:rFonts w:asciiTheme="minorHAnsi" w:hAnsiTheme="minorHAnsi" w:cstheme="minorHAnsi"/>
        </w:rPr>
        <w:t xml:space="preserve"> Program Rewitalizacji. Praktyczny poradnik dla</w:t>
      </w:r>
      <w:r w:rsidRPr="00784BB6">
        <w:rPr>
          <w:rFonts w:asciiTheme="minorHAnsi" w:hAnsiTheme="minorHAnsi" w:cstheme="minorHAnsi"/>
        </w:rPr>
        <w:t xml:space="preserve"> mieszkańców</w:t>
      </w:r>
      <w:r w:rsidRPr="000B3B8D">
        <w:rPr>
          <w:rFonts w:asciiTheme="minorHAnsi" w:hAnsiTheme="minorHAnsi" w:cstheme="minorHAnsi"/>
        </w:rPr>
        <w:t xml:space="preserve"> i władz lokalnych</w:t>
      </w:r>
      <w:r>
        <w:rPr>
          <w:rFonts w:asciiTheme="minorHAnsi" w:hAnsiTheme="minorHAnsi" w:cstheme="minorHAnsi"/>
        </w:rPr>
        <w:t xml:space="preserve"> (2019) dostępna na </w:t>
      </w:r>
      <w:hyperlink r:id="rId4" w:history="1">
        <w:r>
          <w:rPr>
            <w:rStyle w:val="Hipercze"/>
            <w:rFonts w:asciiTheme="minorHAnsi" w:hAnsiTheme="minorHAnsi" w:cstheme="minorHAnsi"/>
          </w:rPr>
          <w:t>gminny-program-rewitalizacji-praktyczny-poradnik-dla-mieszkancow-i-wladz-lokalnych</w:t>
        </w:r>
      </w:hyperlink>
      <w:r>
        <w:rPr>
          <w:rFonts w:asciiTheme="minorHAnsi" w:hAnsiTheme="minorHAnsi" w:cstheme="minorHAnsi"/>
        </w:rPr>
        <w:t xml:space="preserve"> </w:t>
      </w:r>
    </w:p>
  </w:footnote>
  <w:footnote w:id="5">
    <w:p w14:paraId="222949CF" w14:textId="3BB77F4B" w:rsidR="000B3B8D" w:rsidRPr="000B3B8D" w:rsidRDefault="000B3B8D" w:rsidP="000B3B8D">
      <w:pPr>
        <w:pStyle w:val="Tekstprzypisudolnego"/>
        <w:jc w:val="left"/>
        <w:rPr>
          <w:rFonts w:asciiTheme="minorHAnsi" w:hAnsiTheme="minorHAnsi" w:cstheme="minorHAnsi"/>
        </w:rPr>
      </w:pPr>
      <w:r w:rsidRPr="000B3B8D">
        <w:rPr>
          <w:rStyle w:val="Odwoanieprzypisudolnego"/>
          <w:rFonts w:asciiTheme="minorHAnsi" w:hAnsiTheme="minorHAnsi" w:cstheme="minorHAnsi"/>
        </w:rPr>
        <w:footnoteRef/>
      </w:r>
      <w:r w:rsidRPr="000B3B8D">
        <w:rPr>
          <w:rFonts w:asciiTheme="minorHAnsi" w:hAnsiTheme="minorHAnsi" w:cstheme="minorHAnsi"/>
        </w:rPr>
        <w:t xml:space="preserve"> Kompetencje resortu zostały przejęte przez: Ministerstwo Funduszy i Polityki Regionalnej oraz Ministerstwo Rozwoju, Pracy i Technologii. </w:t>
      </w:r>
    </w:p>
  </w:footnote>
  <w:footnote w:id="6">
    <w:p w14:paraId="5B5FD159" w14:textId="036A4E7B" w:rsidR="008E31FB" w:rsidRPr="009125B2" w:rsidRDefault="008E31FB" w:rsidP="009125B2">
      <w:pPr>
        <w:pStyle w:val="Tekstprzypisudolnego"/>
        <w:rPr>
          <w:rFonts w:asciiTheme="minorHAnsi" w:hAnsiTheme="minorHAnsi" w:cstheme="minorHAnsi"/>
        </w:rPr>
      </w:pPr>
      <w:r w:rsidRPr="000B3B8D">
        <w:rPr>
          <w:rStyle w:val="Odwoanieprzypisudolnego"/>
          <w:rFonts w:asciiTheme="minorHAnsi" w:hAnsiTheme="minorHAnsi" w:cstheme="minorHAnsi"/>
        </w:rPr>
        <w:footnoteRef/>
      </w:r>
      <w:r w:rsidRPr="000B3B8D">
        <w:rPr>
          <w:rFonts w:asciiTheme="minorHAnsi" w:hAnsiTheme="minorHAnsi" w:cstheme="minorHAnsi"/>
        </w:rPr>
        <w:t xml:space="preserve"> Zob. </w:t>
      </w:r>
      <w:r w:rsidR="007A030F" w:rsidRPr="007A030F">
        <w:rPr>
          <w:rFonts w:asciiTheme="minorHAnsi" w:hAnsiTheme="minorHAnsi" w:cstheme="minorHAnsi"/>
        </w:rPr>
        <w:t>uchwała n</w:t>
      </w:r>
      <w:r w:rsidR="007A030F">
        <w:rPr>
          <w:rFonts w:asciiTheme="minorHAnsi" w:hAnsiTheme="minorHAnsi" w:cstheme="minorHAnsi"/>
        </w:rPr>
        <w:t>r</w:t>
      </w:r>
      <w:r w:rsidR="007A030F" w:rsidRPr="007A030F">
        <w:rPr>
          <w:rFonts w:asciiTheme="minorHAnsi" w:hAnsiTheme="minorHAnsi" w:cstheme="minorHAnsi"/>
        </w:rPr>
        <w:t xml:space="preserve"> XLVIII/336/18 Rady Miejskiej </w:t>
      </w:r>
      <w:r w:rsidR="007A030F">
        <w:rPr>
          <w:rFonts w:asciiTheme="minorHAnsi" w:hAnsiTheme="minorHAnsi" w:cstheme="minorHAnsi"/>
        </w:rPr>
        <w:t>w</w:t>
      </w:r>
      <w:r w:rsidR="007A030F" w:rsidRPr="007A030F">
        <w:rPr>
          <w:rFonts w:asciiTheme="minorHAnsi" w:hAnsiTheme="minorHAnsi" w:cstheme="minorHAnsi"/>
        </w:rPr>
        <w:t xml:space="preserve"> Krośniewicach z dnia 31 sierpnia 2018 r. w sprawie Statutu Gminy Krośniewice</w:t>
      </w:r>
      <w:r w:rsidR="007A030F">
        <w:rPr>
          <w:rFonts w:asciiTheme="minorHAnsi" w:hAnsiTheme="minorHAnsi" w:cstheme="minorHAnsi"/>
        </w:rPr>
        <w:t>, z późn. zm.</w:t>
      </w:r>
    </w:p>
  </w:footnote>
  <w:footnote w:id="7">
    <w:p w14:paraId="76B3477B" w14:textId="4FB659DB" w:rsidR="001D4AEC" w:rsidRPr="001D4AEC" w:rsidRDefault="001D4AEC" w:rsidP="001D4AEC">
      <w:pPr>
        <w:pStyle w:val="Tekstprzypisudolnego"/>
        <w:jc w:val="left"/>
        <w:rPr>
          <w:rFonts w:ascii="Calibri" w:hAnsi="Calibri" w:cs="Calibri"/>
        </w:rPr>
      </w:pPr>
      <w:r w:rsidRPr="001D4AEC">
        <w:rPr>
          <w:rStyle w:val="Odwoanieprzypisudolnego"/>
          <w:rFonts w:ascii="Calibri" w:hAnsi="Calibri" w:cs="Calibri"/>
        </w:rPr>
        <w:footnoteRef/>
      </w:r>
      <w:r w:rsidRPr="001D4AEC">
        <w:rPr>
          <w:rFonts w:ascii="Calibri" w:hAnsi="Calibri" w:cs="Calibri"/>
        </w:rPr>
        <w:t xml:space="preserve"> Badanie ankietowe prowadzone było od 05.05.2022 r. do 02.06.2022 r. Ankietę można było wypełnić elektronicznie za pomocą utworzonego formularza internetowego. Ponadto ankieta była dostępna w siedzibie Urzędu Miejskiego w Krośniewicach oraz w serwisie internetowym Urzędu Miejskiego w Krośniewicach. Ankietę wypełniło 89 osób. Większość respondentów stanowiły kobiety, których udział w ogólnej liczbie badanych wyniósł 65%, a udział mężczyzn wyniósł 35%.</w:t>
      </w:r>
    </w:p>
  </w:footnote>
  <w:footnote w:id="8">
    <w:p w14:paraId="44F1BEAA" w14:textId="4ED037ED" w:rsidR="003B5185" w:rsidRPr="003B5185" w:rsidRDefault="003B5185" w:rsidP="003B5185">
      <w:pPr>
        <w:pStyle w:val="Tekstprzypisudolnego"/>
        <w:jc w:val="left"/>
        <w:rPr>
          <w:rFonts w:asciiTheme="minorHAnsi" w:hAnsiTheme="minorHAnsi" w:cstheme="minorHAnsi"/>
        </w:rPr>
      </w:pPr>
      <w:r w:rsidRPr="003B5185">
        <w:rPr>
          <w:rStyle w:val="Odwoanieprzypisudolnego"/>
          <w:rFonts w:asciiTheme="minorHAnsi" w:hAnsiTheme="minorHAnsi" w:cstheme="minorHAnsi"/>
        </w:rPr>
        <w:footnoteRef/>
      </w:r>
      <w:r w:rsidRPr="003B5185">
        <w:rPr>
          <w:rFonts w:asciiTheme="minorHAnsi" w:hAnsiTheme="minorHAnsi" w:cstheme="minorHAnsi"/>
        </w:rPr>
        <w:t xml:space="preserve"> Ankieta CAWI (ang. Computer-Assisted Web Interview) to technika zbierania informacji w badaniach ilościowych, przeprowadzana całkowicie online za pomocą formularza internetowego. Respondenci wypełniają ankietę przez stronę www, co umożliwia szybkie i ekonomiczne zbieranie danych.</w:t>
      </w:r>
      <w:r w:rsidRPr="003B5185">
        <w:rPr>
          <w:rFonts w:ascii="Segoe UI" w:hAnsi="Segoe UI" w:cs="Segoe UI"/>
          <w:spacing w:val="1"/>
          <w:sz w:val="22"/>
          <w:szCs w:val="22"/>
          <w:lang w:eastAsia="en-US"/>
        </w:rPr>
        <w:t xml:space="preserve"> </w:t>
      </w:r>
      <w:r w:rsidRPr="003B5185">
        <w:rPr>
          <w:rFonts w:asciiTheme="minorHAnsi" w:hAnsiTheme="minorHAnsi" w:cstheme="minorHAnsi"/>
        </w:rPr>
        <w:t>Ankiety CAWI są powszechnie stosowane w badaniach rynku, opinii publicznej, ocenie usług czy społecznych konsultacjach ze względu na ich efektywność, skalowalność i elastyczność dostosowania do potrzeb badania.</w:t>
      </w:r>
    </w:p>
  </w:footnote>
  <w:footnote w:id="9">
    <w:p w14:paraId="4B4C29C2" w14:textId="77777777" w:rsidR="00471510" w:rsidRPr="00471510" w:rsidRDefault="00471510" w:rsidP="000969ED">
      <w:pPr>
        <w:pStyle w:val="Tekstprzypisudolnego"/>
        <w:jc w:val="left"/>
        <w:rPr>
          <w:rFonts w:ascii="Calibri" w:hAnsi="Calibri" w:cs="Calibri"/>
        </w:rPr>
      </w:pPr>
      <w:r w:rsidRPr="00471510">
        <w:rPr>
          <w:rStyle w:val="Odwoanieprzypisudolnego"/>
          <w:rFonts w:ascii="Calibri" w:hAnsi="Calibri" w:cs="Calibri"/>
        </w:rPr>
        <w:footnoteRef/>
      </w:r>
      <w:r w:rsidRPr="00471510">
        <w:rPr>
          <w:rFonts w:ascii="Calibri" w:hAnsi="Calibri" w:cs="Calibri"/>
        </w:rPr>
        <w:t xml:space="preserve"> Por. Strategii Rozwoju Gminy Krośniewice na lata 2023-2030, przyjęta Uchwałą nr XLIII/382/2022 Rady Miejskiej w Krośniewicach z dnia 29 listopada 2022 r. </w:t>
      </w:r>
    </w:p>
  </w:footnote>
  <w:footnote w:id="10">
    <w:p w14:paraId="43EAD0B7" w14:textId="77777777" w:rsidR="00471510" w:rsidRPr="00D526F0" w:rsidRDefault="00471510" w:rsidP="00D526F0">
      <w:pPr>
        <w:pStyle w:val="Tekstprzypisudolnego"/>
        <w:jc w:val="left"/>
        <w:rPr>
          <w:rFonts w:ascii="Calibri" w:hAnsi="Calibri" w:cs="Calibri"/>
        </w:rPr>
      </w:pPr>
      <w:r w:rsidRPr="00471510">
        <w:rPr>
          <w:rStyle w:val="Odwoanieprzypisudolnego"/>
          <w:rFonts w:ascii="Calibri" w:hAnsi="Calibri" w:cs="Calibri"/>
        </w:rPr>
        <w:footnoteRef/>
      </w:r>
      <w:r w:rsidRPr="00471510">
        <w:rPr>
          <w:rFonts w:ascii="Calibri" w:hAnsi="Calibri" w:cs="Calibri"/>
        </w:rPr>
        <w:t xml:space="preserve"> Por. uchwała nr XXXV/235/17 Rady Miejskiej w Krośniewicach z dnia 25 lipca 2017 r. w sprawie uchwalenia zmiany </w:t>
      </w:r>
      <w:r w:rsidRPr="00D526F0">
        <w:rPr>
          <w:rFonts w:ascii="Calibri" w:hAnsi="Calibri" w:cs="Calibri"/>
        </w:rPr>
        <w:t xml:space="preserve">Studium uwarunkowań i kierunków zagospodarowania przestrzennego gminy Krośniewice. </w:t>
      </w:r>
    </w:p>
  </w:footnote>
  <w:footnote w:id="11">
    <w:p w14:paraId="60A4CA3A" w14:textId="003541A7" w:rsidR="00D526F0" w:rsidRPr="00D526F0" w:rsidRDefault="00D526F0" w:rsidP="00D526F0">
      <w:pPr>
        <w:pStyle w:val="Tekstprzypisudolnego"/>
        <w:jc w:val="left"/>
        <w:rPr>
          <w:rFonts w:ascii="Calibri" w:hAnsi="Calibri" w:cs="Calibri"/>
        </w:rPr>
      </w:pPr>
      <w:r w:rsidRPr="00D526F0">
        <w:rPr>
          <w:rStyle w:val="Odwoanieprzypisudolnego"/>
          <w:rFonts w:ascii="Calibri" w:hAnsi="Calibri" w:cs="Calibri"/>
        </w:rPr>
        <w:footnoteRef/>
      </w:r>
      <w:r w:rsidRPr="00D526F0">
        <w:rPr>
          <w:rFonts w:ascii="Calibri" w:hAnsi="Calibri" w:cs="Calibri"/>
        </w:rPr>
        <w:t xml:space="preserve"> Zob. Uchwała z dnia 6 maja 2021 r. Sejmiku Województwa Łódzkiego nr XXXI/414/21 sprawie przyjęcia Strategii Rozwoju Województwa Łódzkiego 2030</w:t>
      </w:r>
    </w:p>
  </w:footnote>
  <w:footnote w:id="12">
    <w:p w14:paraId="311D795E" w14:textId="3CEA5E01" w:rsidR="00D526F0" w:rsidRPr="003553FF" w:rsidRDefault="00D526F0" w:rsidP="00D526F0">
      <w:pPr>
        <w:pStyle w:val="Tekstprzypisudolnego"/>
        <w:jc w:val="left"/>
        <w:rPr>
          <w:rFonts w:asciiTheme="minorHAnsi" w:hAnsiTheme="minorHAnsi" w:cstheme="minorHAnsi"/>
        </w:rPr>
      </w:pPr>
      <w:r w:rsidRPr="00D526F0">
        <w:rPr>
          <w:rStyle w:val="Odwoanieprzypisudolnego"/>
          <w:rFonts w:ascii="Calibri" w:hAnsi="Calibri" w:cs="Calibri"/>
        </w:rPr>
        <w:footnoteRef/>
      </w:r>
      <w:r w:rsidRPr="00D526F0">
        <w:rPr>
          <w:rFonts w:ascii="Calibri" w:hAnsi="Calibri" w:cs="Calibri"/>
        </w:rPr>
        <w:t xml:space="preserve"> Zob. str. 73 Strategii Rozwoju Gminy Krośniewice</w:t>
      </w:r>
      <w:r w:rsidRPr="00471510">
        <w:rPr>
          <w:rFonts w:ascii="Calibri" w:hAnsi="Calibri" w:cs="Calibri"/>
        </w:rPr>
        <w:t xml:space="preserve"> na lata 2023-2030</w:t>
      </w:r>
      <w:r w:rsidR="00AD2D77">
        <w:rPr>
          <w:rFonts w:ascii="Calibri" w:hAnsi="Calibri" w:cs="Calibri"/>
        </w:rPr>
        <w:t>.</w:t>
      </w:r>
    </w:p>
  </w:footnote>
  <w:footnote w:id="13">
    <w:p w14:paraId="24CA3EB7" w14:textId="77777777" w:rsidR="009871AE" w:rsidRDefault="009871AE" w:rsidP="00DA7670">
      <w:pPr>
        <w:pStyle w:val="Tekstprzypisudolnego"/>
        <w:jc w:val="left"/>
      </w:pPr>
      <w:r w:rsidRPr="003553FF">
        <w:rPr>
          <w:rStyle w:val="Odwoanieprzypisudolnego"/>
          <w:rFonts w:asciiTheme="minorHAnsi" w:hAnsiTheme="minorHAnsi" w:cstheme="minorHAnsi"/>
        </w:rPr>
        <w:footnoteRef/>
      </w:r>
      <w:r w:rsidRPr="003553FF">
        <w:rPr>
          <w:rFonts w:asciiTheme="minorHAnsi" w:hAnsiTheme="minorHAnsi" w:cstheme="minorHAnsi"/>
        </w:rPr>
        <w:t xml:space="preserve"> Należy podkreślić trudności merytoryczne w delimitacji obszaru rewitalizacji w sytuacji, gdy: wskaźniki kryzysu w sferze społecznej pozostają na dość wysokim poziomie w relacji</w:t>
      </w:r>
      <w:r>
        <w:rPr>
          <w:rFonts w:ascii="Calibri" w:hAnsi="Calibri" w:cs="Calibri"/>
        </w:rPr>
        <w:t xml:space="preserve"> do wartości w zewnętrznych jednostkach odniesienia (powiecie, województwie), wskaźniki kryzysu w sferze społecznej nie są bardzo silnie zróżnicowane w poszczególnych jednostkach w Gminie, a występujące zróżnicowania trudno często jest jednoznacznie zinterpretować; zjawiska kryzysowe w sferze przestrzenno-funkcjonalnej, środowiskowej, infrastrukturalnej są znaczące w wymiarze całej Gminy, a możliwości ich łagodzenia nie mają charakteru lokalnego, dotyczącego wyłącznie określonej jednostki (np. modernizacja dróg, porządkowanie terenów zieleni, budowa parkingów przy stacjach WKD)</w:t>
      </w:r>
    </w:p>
  </w:footnote>
  <w:footnote w:id="14">
    <w:p w14:paraId="7DD4A8F3" w14:textId="77777777" w:rsidR="009871AE" w:rsidRDefault="009871AE">
      <w:pPr>
        <w:pStyle w:val="Tekstprzypisudolnego"/>
        <w:jc w:val="left"/>
      </w:pPr>
      <w:r>
        <w:rPr>
          <w:rStyle w:val="Odwoanieprzypisudolnego"/>
        </w:rPr>
        <w:footnoteRef/>
      </w:r>
      <w:r>
        <w:rPr>
          <w:rFonts w:ascii="Calibri" w:hAnsi="Calibri" w:cs="Calibri"/>
        </w:rPr>
        <w:t xml:space="preserve"> Zastosowanie metodologii Index of Multiple Deprivation przy delimitacji obszaru zdegradowanego i obszaru rewitalizacji zostało opisanie w dokumencie Delimitacja krok po kroku Metoda wyznaczania obszaru zdegradowanego i obszaru rewitalizacji na potrzeby Gminnych Programów Rewitalizacji, praca zbiorowa pod redakcją W. Jarczewskiego z Instytutu Rozwoju Miast, Warszawa 2017 r.</w:t>
      </w:r>
    </w:p>
  </w:footnote>
  <w:footnote w:id="15">
    <w:p w14:paraId="34045670" w14:textId="25EE19BA" w:rsidR="00EC4B90" w:rsidRPr="00EC4B90" w:rsidRDefault="00EC4B90" w:rsidP="00EC4B90">
      <w:pPr>
        <w:pStyle w:val="Tekstprzypisudolnego"/>
        <w:jc w:val="left"/>
        <w:rPr>
          <w:rFonts w:ascii="Calibri" w:hAnsi="Calibri" w:cs="Calibri"/>
        </w:rPr>
      </w:pPr>
      <w:r w:rsidRPr="00EC4B90">
        <w:rPr>
          <w:rStyle w:val="Odwoanieprzypisudolnego"/>
          <w:rFonts w:ascii="Calibri" w:hAnsi="Calibri" w:cs="Calibri"/>
        </w:rPr>
        <w:footnoteRef/>
      </w:r>
      <w:r w:rsidRPr="00EC4B90">
        <w:rPr>
          <w:rFonts w:ascii="Calibri" w:hAnsi="Calibri" w:cs="Calibri"/>
        </w:rPr>
        <w:t xml:space="preserve"> Skala jakościowej oceny natężenia problemów społecznych – w obszarze problemowym 1. Sytuacja dochodowa i warunki życia mieszkańców</w:t>
      </w:r>
      <w:r>
        <w:rPr>
          <w:rFonts w:ascii="Calibri" w:hAnsi="Calibri" w:cs="Calibri"/>
        </w:rPr>
        <w:t xml:space="preserve"> / 2. </w:t>
      </w:r>
      <w:r w:rsidRPr="00EC4B90">
        <w:rPr>
          <w:rFonts w:ascii="Calibri" w:hAnsi="Calibri" w:cs="Calibri"/>
        </w:rPr>
        <w:t xml:space="preserve">Funkcjonowanie rodzin i opieka nad osobami zależnymi </w:t>
      </w:r>
      <w:r>
        <w:rPr>
          <w:rFonts w:ascii="Calibri" w:hAnsi="Calibri" w:cs="Calibri"/>
        </w:rPr>
        <w:t xml:space="preserve">oraz 3. </w:t>
      </w:r>
      <w:r w:rsidRPr="00EC4B90">
        <w:rPr>
          <w:rFonts w:ascii="Calibri" w:hAnsi="Calibri" w:cs="Calibri"/>
        </w:rPr>
        <w:t>Dysfunkcje społeczne, uzależnienia i przemoc</w:t>
      </w:r>
      <w:r>
        <w:rPr>
          <w:rFonts w:ascii="Calibri" w:hAnsi="Calibri" w:cs="Calibri"/>
        </w:rPr>
        <w:t>:</w:t>
      </w:r>
    </w:p>
    <w:p w14:paraId="2574E313" w14:textId="77777777" w:rsidR="00EC4B90" w:rsidRPr="00EC4B90" w:rsidRDefault="00EC4B90" w:rsidP="00EC4B90">
      <w:pPr>
        <w:pStyle w:val="Tekstprzypisudolnego"/>
        <w:jc w:val="left"/>
        <w:rPr>
          <w:rFonts w:ascii="Calibri" w:hAnsi="Calibri" w:cs="Calibri"/>
        </w:rPr>
      </w:pPr>
      <w:r w:rsidRPr="00EC4B90">
        <w:rPr>
          <w:rFonts w:ascii="Calibri" w:hAnsi="Calibri" w:cs="Calibri"/>
        </w:rPr>
        <w:t>0 – brak problemu (zjawisko nie występuje lub ma charakter jednostkowy)</w:t>
      </w:r>
    </w:p>
    <w:p w14:paraId="10382852" w14:textId="77777777" w:rsidR="00EC4B90" w:rsidRPr="00EC4B90" w:rsidRDefault="00EC4B90" w:rsidP="00EC4B90">
      <w:pPr>
        <w:pStyle w:val="Tekstprzypisudolnego"/>
        <w:jc w:val="left"/>
        <w:rPr>
          <w:rFonts w:ascii="Calibri" w:hAnsi="Calibri" w:cs="Calibri"/>
        </w:rPr>
      </w:pPr>
      <w:r w:rsidRPr="00EC4B90">
        <w:rPr>
          <w:rFonts w:ascii="Calibri" w:hAnsi="Calibri" w:cs="Calibri"/>
        </w:rPr>
        <w:t>1 – niska intensywność (zjawisko incydentalne, niewpływające istotnie na sytuację mieszkańców)</w:t>
      </w:r>
    </w:p>
    <w:p w14:paraId="556F9227" w14:textId="77777777" w:rsidR="00EC4B90" w:rsidRPr="00EC4B90" w:rsidRDefault="00EC4B90" w:rsidP="00EC4B90">
      <w:pPr>
        <w:pStyle w:val="Tekstprzypisudolnego"/>
        <w:jc w:val="left"/>
        <w:rPr>
          <w:rFonts w:ascii="Calibri" w:hAnsi="Calibri" w:cs="Calibri"/>
        </w:rPr>
      </w:pPr>
      <w:r w:rsidRPr="00EC4B90">
        <w:rPr>
          <w:rFonts w:ascii="Calibri" w:hAnsi="Calibri" w:cs="Calibri"/>
        </w:rPr>
        <w:t>2 – umiarkowana intensywność (zjawisko zauważalne, okresowo generujące trudności społeczne)</w:t>
      </w:r>
    </w:p>
    <w:p w14:paraId="3446BD22" w14:textId="77777777" w:rsidR="00EC4B90" w:rsidRPr="00EC4B90" w:rsidRDefault="00EC4B90" w:rsidP="00EC4B90">
      <w:pPr>
        <w:pStyle w:val="Tekstprzypisudolnego"/>
        <w:jc w:val="left"/>
        <w:rPr>
          <w:rFonts w:ascii="Calibri" w:hAnsi="Calibri" w:cs="Calibri"/>
        </w:rPr>
      </w:pPr>
      <w:r w:rsidRPr="00EC4B90">
        <w:rPr>
          <w:rFonts w:ascii="Calibri" w:hAnsi="Calibri" w:cs="Calibri"/>
        </w:rPr>
        <w:t>3 – wysoka intensywność (zjawisko częste, zauważalny wpływ na funkcjonowanie mieszkańców i rodzin)</w:t>
      </w:r>
    </w:p>
    <w:p w14:paraId="58201394" w14:textId="18D28876" w:rsidR="00EC4B90" w:rsidRPr="00EC4B90" w:rsidRDefault="00EC4B90" w:rsidP="00EC4B90">
      <w:pPr>
        <w:pStyle w:val="Tekstprzypisudolnego"/>
        <w:jc w:val="left"/>
        <w:rPr>
          <w:rFonts w:ascii="Calibri" w:hAnsi="Calibri" w:cs="Calibri"/>
        </w:rPr>
      </w:pPr>
      <w:r w:rsidRPr="00EC4B90">
        <w:rPr>
          <w:rFonts w:ascii="Calibri" w:hAnsi="Calibri" w:cs="Calibri"/>
        </w:rPr>
        <w:t>4 – bardzo wysoka intensywność (zjawisko nasilone, systemowe, istotnie obciążające lokalny system wsparcia)</w:t>
      </w:r>
    </w:p>
  </w:footnote>
  <w:footnote w:id="16">
    <w:p w14:paraId="34869909" w14:textId="77777777" w:rsidR="00974EBD" w:rsidRPr="00895A36" w:rsidRDefault="00974EBD" w:rsidP="00895A36">
      <w:pPr>
        <w:pStyle w:val="Tekstprzypisudolnego"/>
        <w:jc w:val="left"/>
        <w:rPr>
          <w:rFonts w:asciiTheme="minorHAnsi" w:hAnsiTheme="minorHAnsi" w:cstheme="minorHAnsi"/>
        </w:rPr>
      </w:pPr>
      <w:r w:rsidRPr="00895A36">
        <w:rPr>
          <w:rStyle w:val="Odwoanieprzypisudolnego"/>
          <w:rFonts w:asciiTheme="minorHAnsi" w:hAnsiTheme="minorHAnsi" w:cstheme="minorHAnsi"/>
        </w:rPr>
        <w:footnoteRef/>
      </w:r>
      <w:r w:rsidRPr="00895A36">
        <w:rPr>
          <w:rFonts w:asciiTheme="minorHAnsi" w:hAnsiTheme="minorHAnsi" w:cstheme="minorHAnsi"/>
        </w:rPr>
        <w:t xml:space="preserve"> Skala ocen Wskaźnika przekroczenia standardów jakości powietrza:</w:t>
      </w:r>
    </w:p>
    <w:p w14:paraId="2AA9C2DD" w14:textId="77777777" w:rsidR="00974EBD" w:rsidRDefault="00974EBD" w:rsidP="00895A36">
      <w:pPr>
        <w:pStyle w:val="Tekstprzypisudolnego"/>
        <w:jc w:val="left"/>
        <w:rPr>
          <w:rFonts w:asciiTheme="minorHAnsi" w:hAnsiTheme="minorHAnsi" w:cstheme="minorHAnsi"/>
        </w:rPr>
      </w:pPr>
      <w:r w:rsidRPr="00895A36">
        <w:rPr>
          <w:rFonts w:asciiTheme="minorHAnsi" w:hAnsiTheme="minorHAnsi" w:cstheme="minorHAnsi"/>
        </w:rPr>
        <w:t>1 – Klasa 1: Stężenia zanieczyszczeń na terenie strefy nie przekroczyły wartości dolnego progu oszacowania. Wymagane są metody takie jak modelowanie matematyczne, pomiary wskaźnikowe lub obiektywne metody szacowania. Oznacza to, że jakość powietrza jest dobra i mieści</w:t>
      </w:r>
      <w:r w:rsidRPr="0008499C">
        <w:rPr>
          <w:rFonts w:asciiTheme="minorHAnsi" w:hAnsiTheme="minorHAnsi" w:cstheme="minorHAnsi"/>
        </w:rPr>
        <w:t xml:space="preserve"> się w bezpiecznych normach</w:t>
      </w:r>
    </w:p>
    <w:p w14:paraId="4DA574E5" w14:textId="77777777" w:rsidR="00974EBD" w:rsidRDefault="00974EBD" w:rsidP="00895A36">
      <w:pPr>
        <w:pStyle w:val="Tekstprzypisudolnego"/>
        <w:jc w:val="left"/>
        <w:rPr>
          <w:rFonts w:asciiTheme="minorHAnsi" w:hAnsiTheme="minorHAnsi" w:cstheme="minorHAnsi"/>
        </w:rPr>
      </w:pPr>
      <w:r>
        <w:rPr>
          <w:rFonts w:asciiTheme="minorHAnsi" w:hAnsiTheme="minorHAnsi" w:cstheme="minorHAnsi"/>
        </w:rPr>
        <w:t xml:space="preserve">2 – </w:t>
      </w:r>
      <w:r w:rsidRPr="0008499C">
        <w:rPr>
          <w:rFonts w:asciiTheme="minorHAnsi" w:hAnsiTheme="minorHAnsi" w:cstheme="minorHAnsi"/>
        </w:rPr>
        <w:t>Klasa 2: Na terenie strefy wystąpiły stężenia zanieczyszczeń powyżej wartości dolnego progu oszacowania, ale nie przekraczają wartości górnego progu oszacowania. Wymagane są pomiary w stałych punktach prowadzonych w mniej intensywnym trybie (np. pomiary cykliczne), które mogą być uzupełniane informacjami z innych źródeł.</w:t>
      </w:r>
    </w:p>
    <w:p w14:paraId="5F826283" w14:textId="77777777" w:rsidR="00974EBD" w:rsidRPr="0008499C" w:rsidRDefault="00974EBD" w:rsidP="00895A36">
      <w:pPr>
        <w:pStyle w:val="Tekstprzypisudolnego"/>
        <w:jc w:val="left"/>
        <w:rPr>
          <w:rFonts w:asciiTheme="minorHAnsi" w:hAnsiTheme="minorHAnsi" w:cstheme="minorHAnsi"/>
        </w:rPr>
      </w:pPr>
      <w:r>
        <w:rPr>
          <w:rFonts w:asciiTheme="minorHAnsi" w:hAnsiTheme="minorHAnsi" w:cstheme="minorHAnsi"/>
        </w:rPr>
        <w:t xml:space="preserve">3 – </w:t>
      </w:r>
      <w:r w:rsidRPr="0008499C">
        <w:rPr>
          <w:rFonts w:asciiTheme="minorHAnsi" w:hAnsiTheme="minorHAnsi" w:cstheme="minorHAnsi"/>
        </w:rPr>
        <w:t>Klasa 3: Na terenie strefy pojawiły się stężenia zanieczyszczeń powyżej wartości górnego progu oszacowania. Ta klasa jest dzielona na dwie podklasy:</w:t>
      </w:r>
    </w:p>
    <w:p w14:paraId="280A15F5" w14:textId="77777777" w:rsidR="00974EBD" w:rsidRPr="0008499C" w:rsidRDefault="00974EBD" w:rsidP="00895A36">
      <w:pPr>
        <w:pStyle w:val="Tekstprzypisudolnego"/>
        <w:jc w:val="left"/>
        <w:rPr>
          <w:rFonts w:asciiTheme="minorHAnsi" w:hAnsiTheme="minorHAnsi" w:cstheme="minorHAnsi"/>
        </w:rPr>
      </w:pPr>
      <w:r w:rsidRPr="0008499C">
        <w:rPr>
          <w:rFonts w:asciiTheme="minorHAnsi" w:hAnsiTheme="minorHAnsi" w:cstheme="minorHAnsi"/>
        </w:rPr>
        <w:t>3a: Stężenia są powyżej górnego progu, ale nie przekraczają poziomów dopuszczalnych. Pomiary wysokiej jakości w stałych punktach są wymagane, mogą być uzupełniane informacjami z innych źródeł.</w:t>
      </w:r>
    </w:p>
  </w:footnote>
  <w:footnote w:id="17">
    <w:p w14:paraId="25F90DBB" w14:textId="77777777" w:rsidR="00974EBD" w:rsidRPr="00895A36" w:rsidRDefault="00974EBD" w:rsidP="00974EBD">
      <w:pPr>
        <w:pStyle w:val="Tekstprzypisudolnego"/>
        <w:jc w:val="left"/>
        <w:rPr>
          <w:rFonts w:ascii="Calibri" w:hAnsi="Calibri" w:cs="Calibri"/>
        </w:rPr>
      </w:pPr>
      <w:r w:rsidRPr="00895A36">
        <w:rPr>
          <w:rStyle w:val="Odwoanieprzypisudolnego"/>
          <w:rFonts w:ascii="Calibri" w:hAnsi="Calibri" w:cs="Calibri"/>
        </w:rPr>
        <w:footnoteRef/>
      </w:r>
      <w:r w:rsidRPr="00895A36">
        <w:rPr>
          <w:rFonts w:ascii="Calibri" w:hAnsi="Calibri" w:cs="Calibri"/>
        </w:rPr>
        <w:t xml:space="preserve"> Skala ocen Wskaźnika stanu infrastruktury drogowej:</w:t>
      </w:r>
    </w:p>
    <w:p w14:paraId="5E907B79" w14:textId="77777777" w:rsidR="00974EBD" w:rsidRPr="00895A36" w:rsidRDefault="00974EBD" w:rsidP="00974EBD">
      <w:pPr>
        <w:pStyle w:val="Tekstprzypisudolnego"/>
        <w:jc w:val="left"/>
        <w:rPr>
          <w:rFonts w:ascii="Calibri" w:hAnsi="Calibri" w:cs="Calibri"/>
        </w:rPr>
      </w:pPr>
      <w:r w:rsidRPr="00895A36">
        <w:rPr>
          <w:rFonts w:ascii="Calibri" w:hAnsi="Calibri" w:cs="Calibri"/>
        </w:rPr>
        <w:t>4 – niezadawalający: Stan drogi zły lub bardzo zły; nawierzchnia drogi wykazuje liczne uszkodzenia i deformacje, występują ubytki asfaltu, wyboje, nierówności lub liczne przeszkody utrudniające ruch. Droga wymaga natychmiastowych nakładów inwestycyjnych lub poważnego remontu.</w:t>
      </w:r>
    </w:p>
    <w:p w14:paraId="67DDC82A" w14:textId="77777777" w:rsidR="00974EBD" w:rsidRPr="00895A36" w:rsidRDefault="00974EBD" w:rsidP="00974EBD">
      <w:pPr>
        <w:pStyle w:val="Tekstprzypisudolnego"/>
        <w:jc w:val="left"/>
        <w:rPr>
          <w:rFonts w:ascii="Calibri" w:hAnsi="Calibri" w:cs="Calibri"/>
        </w:rPr>
      </w:pPr>
      <w:r w:rsidRPr="00895A36">
        <w:rPr>
          <w:rFonts w:ascii="Calibri" w:hAnsi="Calibri" w:cs="Calibri"/>
        </w:rPr>
        <w:t>3 – średni: Stan drogi wyraźnie pogorszony, nawierzchnia nosi ślady zużycia, występują nieliczne, rozproszone uszkodzenia takie jak spękania, wyboje czy ubytki, lecz droga pozostaje przejezdna i nie generuje istotnych zagrożeń dla bezpieczeństwa w normalnych warunkach. Wskazane przeprowadzenie nakładów w perspektywie średnioterminowej.</w:t>
      </w:r>
    </w:p>
    <w:p w14:paraId="4254F316" w14:textId="77777777" w:rsidR="00974EBD" w:rsidRPr="00895A36" w:rsidRDefault="00974EBD" w:rsidP="00974EBD">
      <w:pPr>
        <w:pStyle w:val="Tekstprzypisudolnego"/>
        <w:jc w:val="left"/>
        <w:rPr>
          <w:rFonts w:ascii="Calibri" w:hAnsi="Calibri" w:cs="Calibri"/>
        </w:rPr>
      </w:pPr>
      <w:r w:rsidRPr="00895A36">
        <w:rPr>
          <w:rFonts w:ascii="Calibri" w:hAnsi="Calibri" w:cs="Calibri"/>
        </w:rPr>
        <w:t>2 – dobry: Nawierzchnia drogi w stanie ogólnie dobrym, drobne defekty są marginalne i nie wpływają na komfort ruchu oraz bezpieczeństwo użytkowników. Drogę należy okresowo konserwować, brak potrzeby nakładów inwestycyjnych o znaczącym charakterze.</w:t>
      </w:r>
    </w:p>
    <w:p w14:paraId="4FFE682F" w14:textId="77777777" w:rsidR="00974EBD" w:rsidRPr="00895A36" w:rsidRDefault="00974EBD" w:rsidP="00974EBD">
      <w:pPr>
        <w:pStyle w:val="Tekstprzypisudolnego"/>
        <w:jc w:val="left"/>
        <w:rPr>
          <w:rFonts w:ascii="Calibri" w:hAnsi="Calibri" w:cs="Calibri"/>
        </w:rPr>
      </w:pPr>
      <w:r w:rsidRPr="00895A36">
        <w:rPr>
          <w:rFonts w:ascii="Calibri" w:hAnsi="Calibri" w:cs="Calibri"/>
        </w:rPr>
        <w:t>1 – bardzo dobry: Stan drogi wzorcowy; nawierzchnia bez istotnych uszkodzeń, odkształceń czy ubytków, zapewniająca wysoki standard przejezdności oraz bezpieczeństwa. Odcinek wyremontowany lub nowy, brak konieczności bieżących nakładów inwestycyjnych.</w:t>
      </w:r>
    </w:p>
    <w:p w14:paraId="0CFE0E36" w14:textId="77777777" w:rsidR="00895A36" w:rsidRPr="00895A36" w:rsidRDefault="00895A36" w:rsidP="00974EBD">
      <w:pPr>
        <w:pStyle w:val="Tekstprzypisudolnego"/>
        <w:jc w:val="left"/>
        <w:rPr>
          <w:rFonts w:ascii="Calibri" w:hAnsi="Calibri" w:cs="Calibri"/>
          <w:sz w:val="6"/>
          <w:szCs w:val="6"/>
        </w:rPr>
      </w:pPr>
    </w:p>
  </w:footnote>
  <w:footnote w:id="18">
    <w:p w14:paraId="6DEFC111" w14:textId="77777777" w:rsidR="00974EBD" w:rsidRPr="00895A36" w:rsidRDefault="00974EBD" w:rsidP="00974EBD">
      <w:pPr>
        <w:pStyle w:val="Tekstprzypisudolnego"/>
        <w:jc w:val="left"/>
        <w:rPr>
          <w:rFonts w:ascii="Calibri" w:hAnsi="Calibri" w:cs="Calibri"/>
        </w:rPr>
      </w:pPr>
      <w:r w:rsidRPr="00895A36">
        <w:rPr>
          <w:rStyle w:val="Odwoanieprzypisudolnego"/>
          <w:rFonts w:ascii="Calibri" w:hAnsi="Calibri" w:cs="Calibri"/>
        </w:rPr>
        <w:footnoteRef/>
      </w:r>
      <w:r w:rsidRPr="00895A36">
        <w:rPr>
          <w:rFonts w:ascii="Calibri" w:hAnsi="Calibri" w:cs="Calibri"/>
        </w:rPr>
        <w:t xml:space="preserve"> Skala ocen wskaźnika poziomu zdegradowania terenów zieleni publicznej:</w:t>
      </w:r>
    </w:p>
    <w:p w14:paraId="21CE9BE5" w14:textId="77777777" w:rsidR="00974EBD" w:rsidRPr="00895A36" w:rsidRDefault="00974EBD" w:rsidP="00974EBD">
      <w:pPr>
        <w:pStyle w:val="Tekstprzypisudolnego"/>
        <w:jc w:val="left"/>
        <w:rPr>
          <w:rFonts w:ascii="Calibri" w:hAnsi="Calibri" w:cs="Calibri"/>
        </w:rPr>
      </w:pPr>
      <w:r w:rsidRPr="00895A36">
        <w:rPr>
          <w:rFonts w:ascii="Calibri" w:hAnsi="Calibri" w:cs="Calibri"/>
        </w:rPr>
        <w:t>4 – zdegradowane: Tereny zielone są silnie zdegradowane, zniszczone oraz nieuporządkowane; cechuje je degradacja krajobrazu oraz brak dbałości o środowisko naturalne.</w:t>
      </w:r>
    </w:p>
    <w:p w14:paraId="0E3F5744" w14:textId="77777777" w:rsidR="00974EBD" w:rsidRPr="003A661E" w:rsidRDefault="00974EBD" w:rsidP="00974EBD">
      <w:pPr>
        <w:pStyle w:val="Tekstprzypisudolnego"/>
        <w:jc w:val="left"/>
        <w:rPr>
          <w:rFonts w:ascii="Calibri" w:hAnsi="Calibri" w:cs="Calibri"/>
        </w:rPr>
      </w:pPr>
      <w:r w:rsidRPr="00895A36">
        <w:rPr>
          <w:rFonts w:ascii="Calibri" w:hAnsi="Calibri" w:cs="Calibri"/>
        </w:rPr>
        <w:t>3 – brak: Brak nasadzeń krzewów</w:t>
      </w:r>
      <w:r w:rsidRPr="003A661E">
        <w:rPr>
          <w:rFonts w:ascii="Calibri" w:hAnsi="Calibri" w:cs="Calibri"/>
        </w:rPr>
        <w:t xml:space="preserve"> i drzew oraz infrastruktury użyteczności publicznej (m.in. ławek, koszy na śmieci); tereny zielone są niewykorzystywane zgodnie z ich przeznaczeniem i pozbawione oświetlenia.</w:t>
      </w:r>
    </w:p>
    <w:p w14:paraId="2F039296" w14:textId="77777777" w:rsidR="00974EBD" w:rsidRPr="003A661E" w:rsidRDefault="00974EBD" w:rsidP="00974EBD">
      <w:pPr>
        <w:pStyle w:val="Tekstprzypisudolnego"/>
        <w:jc w:val="left"/>
        <w:rPr>
          <w:rFonts w:ascii="Calibri" w:hAnsi="Calibri" w:cs="Calibri"/>
        </w:rPr>
      </w:pPr>
      <w:r>
        <w:rPr>
          <w:rFonts w:ascii="Calibri" w:hAnsi="Calibri" w:cs="Calibri"/>
        </w:rPr>
        <w:t>2</w:t>
      </w:r>
      <w:r w:rsidRPr="003A661E">
        <w:rPr>
          <w:rFonts w:ascii="Calibri" w:hAnsi="Calibri" w:cs="Calibri"/>
        </w:rPr>
        <w:t xml:space="preserve"> – stan średni</w:t>
      </w:r>
      <w:r>
        <w:rPr>
          <w:rFonts w:ascii="Calibri" w:hAnsi="Calibri" w:cs="Calibri"/>
        </w:rPr>
        <w:t xml:space="preserve">: </w:t>
      </w:r>
      <w:r w:rsidRPr="003A661E">
        <w:rPr>
          <w:rFonts w:ascii="Calibri" w:hAnsi="Calibri" w:cs="Calibri"/>
        </w:rPr>
        <w:t>Tereny zielone pełnią funkcje społeczne i rekreacyjne, jednak są nieuporządkowane; wyposażenie takie jak ławki lub kosze na śmieci często ulega zniszczeniu; istniejące place zabaw wymagają modernizacji i ulepszeń.</w:t>
      </w:r>
    </w:p>
    <w:p w14:paraId="371B57E3" w14:textId="77777777" w:rsidR="00974EBD" w:rsidRPr="003A661E" w:rsidRDefault="00974EBD" w:rsidP="00974EBD">
      <w:pPr>
        <w:pStyle w:val="Tekstprzypisudolnego"/>
        <w:jc w:val="left"/>
        <w:rPr>
          <w:rFonts w:ascii="Calibri" w:hAnsi="Calibri" w:cs="Calibri"/>
        </w:rPr>
      </w:pPr>
      <w:r>
        <w:rPr>
          <w:rFonts w:ascii="Calibri" w:hAnsi="Calibri" w:cs="Calibri"/>
        </w:rPr>
        <w:t>1</w:t>
      </w:r>
      <w:r w:rsidRPr="003A661E">
        <w:rPr>
          <w:rFonts w:ascii="Calibri" w:hAnsi="Calibri" w:cs="Calibri"/>
        </w:rPr>
        <w:t xml:space="preserve"> – dobry</w:t>
      </w:r>
      <w:r>
        <w:rPr>
          <w:rFonts w:ascii="Calibri" w:hAnsi="Calibri" w:cs="Calibri"/>
        </w:rPr>
        <w:t xml:space="preserve">: </w:t>
      </w:r>
      <w:r w:rsidRPr="003A661E">
        <w:rPr>
          <w:rFonts w:ascii="Calibri" w:hAnsi="Calibri" w:cs="Calibri"/>
        </w:rPr>
        <w:t>Tereny zielone są zadbane, nowe lub zrewitalizowane; wykorzystywane do rekreacji oraz dodatkowo na inne cele społeczno-ekologiczne, np. przez organizacje pozarządowe czy koła łowieckie.</w:t>
      </w:r>
    </w:p>
    <w:p w14:paraId="2F077FAD" w14:textId="77777777" w:rsidR="00974EBD" w:rsidRDefault="00974EBD" w:rsidP="00974EBD">
      <w:pPr>
        <w:pStyle w:val="Tekstprzypisudolnego"/>
        <w:jc w:val="left"/>
      </w:pPr>
      <w:r w:rsidRPr="003A661E">
        <w:rPr>
          <w:rFonts w:ascii="Calibri" w:hAnsi="Calibri" w:cs="Calibri"/>
        </w:rPr>
        <w:t>Znaczenie wskaźnika. Wskaźnik ten stanowi istotne narzędzie do monitorowania stanu zieleni publicznej i wskazywania potrzeb inwestycyjnych w zakresie poprawy jakości życia mieszkańców oraz ochrony środowiska. Może być stosowany w procesach planowania przestrzennego oraz wnioskowania o dofinansowania na rewitalizację terenów zielonych.</w:t>
      </w:r>
    </w:p>
  </w:footnote>
  <w:footnote w:id="19">
    <w:p w14:paraId="4DB9CC04" w14:textId="77777777" w:rsidR="00974EBD" w:rsidRPr="00FE15D9" w:rsidRDefault="00974EBD" w:rsidP="00974EBD">
      <w:pPr>
        <w:pStyle w:val="Tekstprzypisudolnego"/>
        <w:jc w:val="left"/>
        <w:rPr>
          <w:rFonts w:asciiTheme="minorHAnsi" w:hAnsiTheme="minorHAnsi" w:cstheme="minorHAnsi"/>
        </w:rPr>
      </w:pPr>
      <w:r w:rsidRPr="00FE15D9">
        <w:rPr>
          <w:rStyle w:val="Odwoanieprzypisudolnego"/>
          <w:rFonts w:asciiTheme="minorHAnsi" w:hAnsiTheme="minorHAnsi" w:cstheme="minorHAnsi"/>
        </w:rPr>
        <w:footnoteRef/>
      </w:r>
      <w:r w:rsidRPr="00FE15D9">
        <w:rPr>
          <w:rFonts w:asciiTheme="minorHAnsi" w:hAnsiTheme="minorHAnsi" w:cstheme="minorHAnsi"/>
        </w:rPr>
        <w:t xml:space="preserve"> Skala ocen </w:t>
      </w:r>
      <w:r w:rsidRPr="000969ED">
        <w:rPr>
          <w:rFonts w:asciiTheme="minorHAnsi" w:hAnsiTheme="minorHAnsi" w:cstheme="minorHAnsi"/>
          <w:b/>
          <w:bCs/>
        </w:rPr>
        <w:t>Wskaźnika degradacji stanu obiektów budowlanych o przeznaczeniu mieszkalnym</w:t>
      </w:r>
      <w:r w:rsidRPr="00FE15D9">
        <w:rPr>
          <w:rFonts w:asciiTheme="minorHAnsi" w:hAnsiTheme="minorHAnsi" w:cstheme="minorHAnsi"/>
        </w:rPr>
        <w:t>:</w:t>
      </w:r>
    </w:p>
    <w:p w14:paraId="6BD489D2" w14:textId="77777777" w:rsidR="00974EBD" w:rsidRPr="00FE15D9" w:rsidRDefault="00974EBD" w:rsidP="00974EBD">
      <w:pPr>
        <w:pStyle w:val="Tekstprzypisudolnego"/>
        <w:jc w:val="left"/>
        <w:rPr>
          <w:rFonts w:asciiTheme="minorHAnsi" w:hAnsiTheme="minorHAnsi" w:cstheme="minorHAnsi"/>
        </w:rPr>
      </w:pPr>
      <w:r w:rsidRPr="00FE15D9">
        <w:rPr>
          <w:rFonts w:asciiTheme="minorHAnsi" w:hAnsiTheme="minorHAnsi" w:cstheme="minorHAnsi"/>
        </w:rPr>
        <w:t>3 – Znaczne uszkodzenia i ubytki, obniżona klasa materiałów, wymagany kompleksowy remont kapitalny lub wymiana elementów.</w:t>
      </w:r>
    </w:p>
    <w:p w14:paraId="53B82B5C" w14:textId="77777777" w:rsidR="00974EBD" w:rsidRPr="00FE15D9" w:rsidRDefault="00974EBD" w:rsidP="00974EBD">
      <w:pPr>
        <w:pStyle w:val="Tekstprzypisudolnego"/>
        <w:jc w:val="left"/>
        <w:rPr>
          <w:rFonts w:asciiTheme="minorHAnsi" w:hAnsiTheme="minorHAnsi" w:cstheme="minorHAnsi"/>
        </w:rPr>
      </w:pPr>
      <w:r w:rsidRPr="00FE15D9">
        <w:rPr>
          <w:rFonts w:asciiTheme="minorHAnsi" w:hAnsiTheme="minorHAnsi" w:cstheme="minorHAnsi"/>
        </w:rPr>
        <w:t>2 – Niewielkie zużycie, zalecany drobny remont konserwacyjny, niewielkie uszkodzenia i ubytki, które nie zagrażają bezpieczeństwu, konieczny częściowy remont kapitalny.</w:t>
      </w:r>
    </w:p>
    <w:p w14:paraId="5B643BD1" w14:textId="77777777" w:rsidR="00974EBD" w:rsidRPr="00FE15D9" w:rsidRDefault="00974EBD" w:rsidP="00974EBD">
      <w:pPr>
        <w:pStyle w:val="Tekstprzypisudolnego"/>
        <w:jc w:val="left"/>
        <w:rPr>
          <w:rFonts w:asciiTheme="minorHAnsi" w:hAnsiTheme="minorHAnsi" w:cstheme="minorHAnsi"/>
        </w:rPr>
      </w:pPr>
      <w:r w:rsidRPr="00FE15D9">
        <w:rPr>
          <w:rFonts w:asciiTheme="minorHAnsi" w:hAnsiTheme="minorHAnsi" w:cstheme="minorHAnsi"/>
        </w:rPr>
        <w:t xml:space="preserve">1 </w:t>
      </w:r>
      <w:proofErr w:type="gramStart"/>
      <w:r w:rsidRPr="00FE15D9">
        <w:rPr>
          <w:rFonts w:asciiTheme="minorHAnsi" w:hAnsiTheme="minorHAnsi" w:cstheme="minorHAnsi"/>
        </w:rPr>
        <w:t>-  Budynek</w:t>
      </w:r>
      <w:proofErr w:type="gramEnd"/>
      <w:r w:rsidRPr="00FE15D9">
        <w:rPr>
          <w:rFonts w:asciiTheme="minorHAnsi" w:hAnsiTheme="minorHAnsi" w:cstheme="minorHAnsi"/>
        </w:rPr>
        <w:t xml:space="preserve"> jest dobrze utrzymany, bez uszkodzeń, cechy materiałów odpowiadają normom.</w:t>
      </w:r>
    </w:p>
  </w:footnote>
  <w:footnote w:id="20">
    <w:p w14:paraId="0C121659" w14:textId="77777777" w:rsidR="00FE15D9" w:rsidRPr="00FE15D9" w:rsidRDefault="00FE15D9" w:rsidP="00974EBD">
      <w:pPr>
        <w:pStyle w:val="Tekstprzypisudolnego"/>
        <w:jc w:val="left"/>
        <w:rPr>
          <w:rFonts w:asciiTheme="minorHAnsi" w:hAnsiTheme="minorHAnsi" w:cstheme="minorHAnsi"/>
          <w:sz w:val="8"/>
          <w:szCs w:val="8"/>
        </w:rPr>
      </w:pPr>
    </w:p>
    <w:p w14:paraId="2F57A123" w14:textId="4A49CB89" w:rsidR="00974EBD" w:rsidRPr="00FE15D9" w:rsidRDefault="00974EBD" w:rsidP="00974EBD">
      <w:pPr>
        <w:pStyle w:val="Tekstprzypisudolnego"/>
        <w:jc w:val="left"/>
        <w:rPr>
          <w:rFonts w:asciiTheme="minorHAnsi" w:hAnsiTheme="minorHAnsi" w:cstheme="minorHAnsi"/>
        </w:rPr>
      </w:pPr>
      <w:r w:rsidRPr="00FE15D9">
        <w:rPr>
          <w:rStyle w:val="Odwoanieprzypisudolnego"/>
          <w:rFonts w:asciiTheme="minorHAnsi" w:hAnsiTheme="minorHAnsi" w:cstheme="minorHAnsi"/>
        </w:rPr>
        <w:footnoteRef/>
      </w:r>
      <w:r w:rsidRPr="00FE15D9">
        <w:rPr>
          <w:rFonts w:asciiTheme="minorHAnsi" w:hAnsiTheme="minorHAnsi" w:cstheme="minorHAnsi"/>
        </w:rPr>
        <w:t xml:space="preserve"> Skala ocen </w:t>
      </w:r>
      <w:r w:rsidRPr="00913AC6">
        <w:rPr>
          <w:rFonts w:asciiTheme="minorHAnsi" w:hAnsiTheme="minorHAnsi" w:cstheme="minorHAnsi"/>
          <w:b/>
          <w:bCs/>
        </w:rPr>
        <w:t>Wskaźnika niewystarczającego wyposażenia w infrastrukturę techniczną i społeczną:</w:t>
      </w:r>
    </w:p>
    <w:p w14:paraId="4FCD77E2" w14:textId="77777777" w:rsidR="00974EBD" w:rsidRPr="00075079" w:rsidRDefault="00974EBD" w:rsidP="00974EBD">
      <w:pPr>
        <w:pStyle w:val="Tekstprzypisudolnego"/>
        <w:jc w:val="left"/>
        <w:rPr>
          <w:rFonts w:asciiTheme="minorHAnsi" w:hAnsiTheme="minorHAnsi" w:cstheme="minorHAnsi"/>
        </w:rPr>
      </w:pPr>
      <w:r w:rsidRPr="00FE15D9">
        <w:rPr>
          <w:rFonts w:asciiTheme="minorHAnsi" w:hAnsiTheme="minorHAnsi" w:cstheme="minorHAnsi"/>
        </w:rPr>
        <w:t>3 – Niewystarczające wyposażenie: Infrastruktura techniczna i społeczna jest w stanie krytycznym lub bardzo złym. Brak podstawowych elementów infrastruktury (drogi, wodociągi, kanalizacja, oświetlenie, dostęp do usług społecznych). Obszar cechuje się licznymi</w:t>
      </w:r>
      <w:r w:rsidRPr="00075079">
        <w:rPr>
          <w:rFonts w:asciiTheme="minorHAnsi" w:hAnsiTheme="minorHAnsi" w:cstheme="minorHAnsi"/>
        </w:rPr>
        <w:t xml:space="preserve"> deficytami, które znacząco ograniczają jakość życia mieszkańców.</w:t>
      </w:r>
    </w:p>
    <w:p w14:paraId="187CED79" w14:textId="77777777" w:rsidR="00974EBD" w:rsidRPr="00075079" w:rsidRDefault="00974EBD" w:rsidP="00974EBD">
      <w:pPr>
        <w:pStyle w:val="Tekstprzypisudolnego"/>
        <w:jc w:val="left"/>
        <w:rPr>
          <w:rFonts w:asciiTheme="minorHAnsi" w:hAnsiTheme="minorHAnsi" w:cstheme="minorHAnsi"/>
        </w:rPr>
      </w:pPr>
      <w:r w:rsidRPr="00075079">
        <w:rPr>
          <w:rFonts w:asciiTheme="minorHAnsi" w:hAnsiTheme="minorHAnsi" w:cstheme="minorHAnsi"/>
        </w:rPr>
        <w:t xml:space="preserve">2 - Średnie </w:t>
      </w:r>
      <w:proofErr w:type="gramStart"/>
      <w:r w:rsidRPr="00075079">
        <w:rPr>
          <w:rFonts w:asciiTheme="minorHAnsi" w:hAnsiTheme="minorHAnsi" w:cstheme="minorHAnsi"/>
        </w:rPr>
        <w:t xml:space="preserve">wyposażenie: </w:t>
      </w:r>
      <w:r>
        <w:rPr>
          <w:rFonts w:asciiTheme="minorHAnsi" w:hAnsiTheme="minorHAnsi" w:cstheme="minorHAnsi"/>
        </w:rPr>
        <w:t xml:space="preserve"> </w:t>
      </w:r>
      <w:r w:rsidRPr="00075079">
        <w:rPr>
          <w:rFonts w:asciiTheme="minorHAnsi" w:hAnsiTheme="minorHAnsi" w:cstheme="minorHAnsi"/>
        </w:rPr>
        <w:t>Infrastruktura</w:t>
      </w:r>
      <w:proofErr w:type="gramEnd"/>
      <w:r w:rsidRPr="00075079">
        <w:rPr>
          <w:rFonts w:asciiTheme="minorHAnsi" w:hAnsiTheme="minorHAnsi" w:cstheme="minorHAnsi"/>
        </w:rPr>
        <w:t xml:space="preserve"> techniczna i społeczna jest częściowo dostępna, ale niepełna lub w średnim stanie technicznym. Obecne są podstawowe elementy infrastruktury, ale ich jakość lub dostępność jest niewystarczająca do pełnego zaspokojenia potrzeb mieszkańców. Wymagane są naprawy, modernizacje lub uzupełnienia infrastruktury, aby poprawić jej funkcjonalność. Mieszkańcy mają ograniczony, ale możliwy dostęp do usług i infrastruktury, jednak zauważalne są bariery w ich efektywnym wykorzystaniu.</w:t>
      </w:r>
    </w:p>
    <w:p w14:paraId="0BAF02AB" w14:textId="77777777" w:rsidR="00974EBD" w:rsidRDefault="00974EBD" w:rsidP="00974EBD">
      <w:pPr>
        <w:pStyle w:val="Tekstprzypisudolnego"/>
        <w:jc w:val="left"/>
      </w:pPr>
      <w:r w:rsidRPr="00075079">
        <w:rPr>
          <w:rFonts w:asciiTheme="minorHAnsi" w:hAnsiTheme="minorHAnsi" w:cstheme="minorHAnsi"/>
        </w:rPr>
        <w:t>1 – Dobre wyposażenie: Infrastruktura techniczna i społeczna jest w dobrym stanie, kompletna i działa efektywnie. Zapewniony jest pełny dostęp do podstawowych usług technicznych i społecznych. Stan infrastruktury nie generuje problemów utrudniających życie mieszkańcom. Obszar dobrze spełnia funkcje społeczne i techniczne, wspierając zrównoważony rozwój i atrakcyjność miejsca. Zauważalne są negatywne skutki tego stanu, takie jak brak dostępu do podstawowych usług lub infrastruktury, co utrudnia funkcjonowanie społeczności.</w:t>
      </w:r>
    </w:p>
  </w:footnote>
  <w:footnote w:id="21">
    <w:p w14:paraId="1984C1CE" w14:textId="7B853F2C" w:rsidR="00702127" w:rsidRPr="004C7B43" w:rsidRDefault="00702127" w:rsidP="00702127">
      <w:pPr>
        <w:pStyle w:val="Tekstprzypisudolnego"/>
        <w:jc w:val="left"/>
        <w:rPr>
          <w:rFonts w:asciiTheme="minorHAnsi" w:hAnsiTheme="minorHAnsi" w:cstheme="minorHAnsi"/>
        </w:rPr>
      </w:pPr>
      <w:r w:rsidRPr="008C35D4">
        <w:rPr>
          <w:rStyle w:val="Odwoanieprzypisudolnego"/>
          <w:rFonts w:asciiTheme="minorHAnsi" w:hAnsiTheme="minorHAnsi" w:cstheme="minorHAnsi"/>
        </w:rPr>
        <w:footnoteRef/>
      </w:r>
      <w:r w:rsidRPr="008C35D4">
        <w:rPr>
          <w:rFonts w:asciiTheme="minorHAnsi" w:hAnsiTheme="minorHAnsi" w:cstheme="minorHAnsi"/>
        </w:rPr>
        <w:t xml:space="preserve"> Zob. </w:t>
      </w:r>
      <w:r w:rsidR="00211A00" w:rsidRPr="00211A00">
        <w:rPr>
          <w:rFonts w:asciiTheme="minorHAnsi" w:hAnsiTheme="minorHAnsi" w:cstheme="minorHAnsi"/>
        </w:rPr>
        <w:t>Diagno</w:t>
      </w:r>
      <w:r w:rsidR="00211A00">
        <w:rPr>
          <w:rFonts w:asciiTheme="minorHAnsi" w:hAnsiTheme="minorHAnsi" w:cstheme="minorHAnsi"/>
        </w:rPr>
        <w:t>za</w:t>
      </w:r>
      <w:r w:rsidR="00211A00" w:rsidRPr="00211A00">
        <w:rPr>
          <w:rFonts w:asciiTheme="minorHAnsi" w:hAnsiTheme="minorHAnsi" w:cstheme="minorHAnsi"/>
        </w:rPr>
        <w:t xml:space="preserve"> sytuacji społecznej, gospodarczej i przestrzennej Gminy Krośniewice (wersja wyjściowa dla Strategii rozwoju gminy na lata 2023–2030)</w:t>
      </w:r>
      <w:r w:rsidR="00AD2D77">
        <w:rPr>
          <w:rFonts w:asciiTheme="minorHAnsi" w:hAnsiTheme="minorHAnsi" w:cstheme="minorHAnsi"/>
        </w:rPr>
        <w:t>.</w:t>
      </w:r>
    </w:p>
  </w:footnote>
  <w:footnote w:id="22">
    <w:p w14:paraId="06915646" w14:textId="77777777" w:rsidR="00941835" w:rsidRPr="009F2B5F" w:rsidRDefault="00941835" w:rsidP="00941835">
      <w:pPr>
        <w:pStyle w:val="Tekstprzypisudolnego"/>
        <w:jc w:val="left"/>
        <w:rPr>
          <w:rFonts w:asciiTheme="minorHAnsi" w:hAnsiTheme="minorHAnsi" w:cstheme="minorHAnsi"/>
        </w:rPr>
      </w:pPr>
      <w:r w:rsidRPr="002D6249">
        <w:rPr>
          <w:rStyle w:val="Odwoanieprzypisudolnego"/>
          <w:rFonts w:asciiTheme="minorHAnsi" w:hAnsiTheme="minorHAnsi" w:cstheme="minorHAnsi"/>
        </w:rPr>
        <w:footnoteRef/>
      </w:r>
      <w:r w:rsidRPr="002D6249">
        <w:rPr>
          <w:rFonts w:asciiTheme="minorHAnsi" w:hAnsiTheme="minorHAnsi" w:cstheme="minorHAnsi"/>
        </w:rPr>
        <w:t xml:space="preserve"> </w:t>
      </w:r>
      <w:r>
        <w:rPr>
          <w:rFonts w:asciiTheme="minorHAnsi" w:hAnsiTheme="minorHAnsi" w:cstheme="minorHAnsi"/>
        </w:rPr>
        <w:t xml:space="preserve">Por. </w:t>
      </w:r>
      <w:bookmarkStart w:id="100" w:name="_Hlk219121361"/>
      <w:r w:rsidRPr="00F83247">
        <w:rPr>
          <w:rFonts w:asciiTheme="minorHAnsi" w:hAnsiTheme="minorHAnsi" w:cstheme="minorHAnsi"/>
        </w:rPr>
        <w:t>Ocena zasobów pomocy społecznej</w:t>
      </w:r>
      <w:r>
        <w:rPr>
          <w:rFonts w:asciiTheme="minorHAnsi" w:hAnsiTheme="minorHAnsi" w:cstheme="minorHAnsi"/>
        </w:rPr>
        <w:t xml:space="preserve"> </w:t>
      </w:r>
      <w:bookmarkEnd w:id="100"/>
      <w:r>
        <w:rPr>
          <w:rFonts w:asciiTheme="minorHAnsi" w:hAnsiTheme="minorHAnsi" w:cstheme="minorHAnsi"/>
        </w:rPr>
        <w:t xml:space="preserve">Gminy Krośniewice. </w:t>
      </w:r>
      <w:r w:rsidRPr="00F83247">
        <w:rPr>
          <w:rFonts w:asciiTheme="minorHAnsi" w:hAnsiTheme="minorHAnsi" w:cstheme="minorHAnsi"/>
        </w:rPr>
        <w:t>Ocena Zasobów Pomocy Społecznej Gminy Krośniewice za rok 2024 stanowi istotny element planowania i rozwoju lokalnej polityki społecznej. Dokument ten został</w:t>
      </w:r>
      <w:r>
        <w:rPr>
          <w:rFonts w:asciiTheme="minorHAnsi" w:hAnsiTheme="minorHAnsi" w:cstheme="minorHAnsi"/>
        </w:rPr>
        <w:t xml:space="preserve"> </w:t>
      </w:r>
      <w:r w:rsidRPr="00F83247">
        <w:rPr>
          <w:rFonts w:asciiTheme="minorHAnsi" w:hAnsiTheme="minorHAnsi" w:cstheme="minorHAnsi"/>
        </w:rPr>
        <w:t>opracowany na podstawie danych zebranych w systemie Centralnej Aplikacji Statystycznej (CAS) oraz informacji przekazanych przez jednostki organizacyjne pomocy</w:t>
      </w:r>
      <w:r>
        <w:rPr>
          <w:rFonts w:asciiTheme="minorHAnsi" w:hAnsiTheme="minorHAnsi" w:cstheme="minorHAnsi"/>
        </w:rPr>
        <w:t xml:space="preserve"> </w:t>
      </w:r>
      <w:r w:rsidRPr="00F83247">
        <w:rPr>
          <w:rFonts w:asciiTheme="minorHAnsi" w:hAnsiTheme="minorHAnsi" w:cstheme="minorHAnsi"/>
        </w:rPr>
        <w:t>społecznej i inne instytucje działające na terenie gminy</w:t>
      </w:r>
      <w:r>
        <w:rPr>
          <w:rFonts w:asciiTheme="minorHAnsi" w:hAnsiTheme="minorHAnsi" w:cstheme="minorHAnsi"/>
        </w:rPr>
        <w:t>.</w:t>
      </w:r>
    </w:p>
  </w:footnote>
  <w:footnote w:id="23">
    <w:p w14:paraId="2B84F9CB" w14:textId="0969D859" w:rsidR="00F52AD8" w:rsidRPr="00F52AD8" w:rsidRDefault="00F52AD8">
      <w:pPr>
        <w:pStyle w:val="Tekstprzypisudolnego"/>
        <w:rPr>
          <w:rFonts w:ascii="Calibri" w:hAnsi="Calibri" w:cs="Calibri"/>
        </w:rPr>
      </w:pPr>
      <w:r w:rsidRPr="00F52AD8">
        <w:rPr>
          <w:rStyle w:val="Odwoanieprzypisudolnego"/>
          <w:rFonts w:ascii="Calibri" w:hAnsi="Calibri" w:cs="Calibri"/>
        </w:rPr>
        <w:footnoteRef/>
      </w:r>
      <w:r w:rsidRPr="00F52AD8">
        <w:rPr>
          <w:rFonts w:ascii="Calibri" w:hAnsi="Calibri" w:cs="Calibri"/>
        </w:rPr>
        <w:t xml:space="preserve"> Arytmetyczna średnia 3,51 traktuje każdą jednostkę urbanistyczną równo (każde osiedle/sołectwo ma taką samą wagę niezależnie od liczby mieszkańców), więc pokazuje przeciętny poziom obciążenia „na jednostkę”. Wskaźnik 4,58 odzwierciedla rzeczywisty odsetek bezrobotnych w całej gminie (ważony przez populację) i jest bardziej </w:t>
      </w:r>
      <w:proofErr w:type="gramStart"/>
      <w:r w:rsidRPr="00F52AD8">
        <w:rPr>
          <w:rFonts w:ascii="Calibri" w:hAnsi="Calibri" w:cs="Calibri"/>
        </w:rPr>
        <w:t>adekwatny</w:t>
      </w:r>
      <w:proofErr w:type="gramEnd"/>
      <w:r w:rsidRPr="00F52AD8">
        <w:rPr>
          <w:rFonts w:ascii="Calibri" w:hAnsi="Calibri" w:cs="Calibri"/>
        </w:rPr>
        <w:t xml:space="preserve"> gdy chcemy powiedzieć „jaki odsetek mieszkańców gminy jest bezrobotny”</w:t>
      </w:r>
      <w:r>
        <w:rPr>
          <w:rFonts w:ascii="Calibri" w:hAnsi="Calibri" w:cs="Calibri"/>
        </w:rPr>
        <w:t>.</w:t>
      </w:r>
    </w:p>
  </w:footnote>
  <w:footnote w:id="24">
    <w:p w14:paraId="0CBE0A33" w14:textId="77777777" w:rsidR="00F52AD8" w:rsidRPr="00F52AD8" w:rsidRDefault="00F52AD8" w:rsidP="00F52AD8">
      <w:pPr>
        <w:pStyle w:val="Tekstprzypisudolnego"/>
        <w:jc w:val="left"/>
        <w:rPr>
          <w:rFonts w:ascii="Calibri" w:hAnsi="Calibri" w:cs="Calibri"/>
        </w:rPr>
      </w:pPr>
      <w:r w:rsidRPr="00F52AD8">
        <w:rPr>
          <w:rStyle w:val="Odwoanieprzypisudolnego"/>
          <w:rFonts w:ascii="Calibri" w:hAnsi="Calibri" w:cs="Calibri"/>
        </w:rPr>
        <w:footnoteRef/>
      </w:r>
      <w:r w:rsidRPr="00F52AD8">
        <w:rPr>
          <w:rFonts w:ascii="Calibri" w:hAnsi="Calibri" w:cs="Calibri"/>
        </w:rPr>
        <w:t xml:space="preserve"> Udziały wag wykorzystano do proporcjonalnego rozdziału 346 osób na jednostki, po czym obliczono wskaźnik bezrobotnych na 100 mieszkańców. Takie ważenie gwarantuje, że jednostki o większej populacji i wyższej ocenie problemu dochodowego otrzymują relatywnie większy udział puli bezrobotnych — co odpowiada logicznemu założeniu diagnozy, że problemy dochodowe koncentrują się tam, gdzie są większe zasoby ludzkie i większe nasilenie problemu. Metodę i parametry estymacji opisano w aneksie obliczeniowym</w:t>
      </w:r>
    </w:p>
  </w:footnote>
  <w:footnote w:id="25">
    <w:p w14:paraId="251E44FD" w14:textId="1275781F" w:rsidR="006E6FF5" w:rsidRPr="006E6FF5" w:rsidRDefault="006E6FF5" w:rsidP="006E6FF5">
      <w:pPr>
        <w:pStyle w:val="Tekstprzypisudolnego"/>
        <w:jc w:val="left"/>
        <w:rPr>
          <w:rFonts w:ascii="Calibri" w:hAnsi="Calibri" w:cs="Calibri"/>
        </w:rPr>
      </w:pPr>
      <w:r w:rsidRPr="006E6FF5">
        <w:rPr>
          <w:rStyle w:val="Odwoanieprzypisudolnego"/>
          <w:rFonts w:ascii="Calibri" w:hAnsi="Calibri" w:cs="Calibri"/>
        </w:rPr>
        <w:footnoteRef/>
      </w:r>
      <w:r w:rsidRPr="006E6FF5">
        <w:rPr>
          <w:rFonts w:ascii="Calibri" w:hAnsi="Calibri" w:cs="Calibri"/>
        </w:rPr>
        <w:t xml:space="preserve"> Ze względu na obserwowaną koncentrację podmiotów gospodarczych w mieście Krośniewice, pulę zdarzeń najpierw podzielono na część miejską i wiejską w proporcji 75</w:t>
      </w:r>
      <w:proofErr w:type="gramStart"/>
      <w:r w:rsidRPr="006E6FF5">
        <w:rPr>
          <w:rFonts w:ascii="Calibri" w:hAnsi="Calibri" w:cs="Calibri"/>
        </w:rPr>
        <w:t>% :</w:t>
      </w:r>
      <w:proofErr w:type="gramEnd"/>
      <w:r w:rsidRPr="006E6FF5">
        <w:rPr>
          <w:rFonts w:ascii="Calibri" w:hAnsi="Calibri" w:cs="Calibri"/>
        </w:rPr>
        <w:t xml:space="preserve"> 25% (tj. ~12 nowych i ~9 wykreśleń przypisanych do miasta oraz ~4 nowe i ~3 wykreślenia do wsi), a następnie każdej jednostce przydzielono część tej puli proporcjonalnie do jej wagi. Wagi dla nowych rejestracji skonstruowano tak, aby preferować jednostki o lepszej sytuacji dochodowej: waga jednostki równa była iloczynowi liczby mieszkańców i mnożnika zależnego od oceny dochodowej, przy czym mnożnik = (5 − ocena Obszar 1), tak że jednostki o ocenie 1 otrzymywały większy wkład w pulę nowych rejestracji niż jednostki o ocenie 4. Dla wyrejestrowań zastosowano odwrotne założenie – waga jednostki równa była iloczynowi liczby mieszkańców i samej oceny Obszar 1, co powoduje większą alokację wykreśleń do obszarów o słabszej sytuacji dochodowej. Po obliczeniu wag dokonano proporcjonalnego rozdziału puli zdarzeń wewnątrz grupy miejskiej oraz wewnątrz grupy wiejskiej; z oszacowanych liczebności zdarzeń dla każdej jednostki policzono wskaźniki „na 100 mieszkańców” jako stosunek estymowanej liczby zdarzeń do populacji jednostki pomnożony przez 100.</w:t>
      </w:r>
    </w:p>
  </w:footnote>
  <w:footnote w:id="26">
    <w:p w14:paraId="2B1929F1" w14:textId="72A93B7E" w:rsidR="000913E2" w:rsidRPr="000913E2" w:rsidRDefault="000913E2" w:rsidP="000913E2">
      <w:pPr>
        <w:pStyle w:val="Tekstprzypisudolnego"/>
        <w:jc w:val="left"/>
        <w:rPr>
          <w:rFonts w:ascii="Calibri" w:hAnsi="Calibri" w:cs="Calibri"/>
        </w:rPr>
      </w:pPr>
      <w:r w:rsidRPr="000913E2">
        <w:rPr>
          <w:rStyle w:val="Odwoanieprzypisudolnego"/>
          <w:rFonts w:ascii="Calibri" w:hAnsi="Calibri" w:cs="Calibri"/>
        </w:rPr>
        <w:footnoteRef/>
      </w:r>
      <w:r w:rsidRPr="000913E2">
        <w:rPr>
          <w:rFonts w:ascii="Calibri" w:hAnsi="Calibri" w:cs="Calibri"/>
        </w:rPr>
        <w:t xml:space="preserve"> Wskaźnik „przekroczenia standardów jakości powietrza” ma charakter klasyfikacyjny (skala 1–3): 1 = niska skala przekroczeń / dobra jakość powietrza, 2 = umiarkowana skala przekroczeń, 3 = wysoka skala przekroczeń / obszar o istotnym ryzyku zdrowotnym. Wskaźnik jest stymulantem negatywnym (wyższa klasa = gorsza jakość).</w:t>
      </w:r>
    </w:p>
  </w:footnote>
  <w:footnote w:id="27">
    <w:p w14:paraId="1297431C" w14:textId="435E50BF" w:rsidR="000913E2" w:rsidRPr="000913E2" w:rsidRDefault="000913E2" w:rsidP="000913E2">
      <w:pPr>
        <w:pStyle w:val="Tekstprzypisudolnego"/>
        <w:rPr>
          <w:rFonts w:ascii="Calibri" w:hAnsi="Calibri" w:cs="Calibri"/>
        </w:rPr>
      </w:pPr>
      <w:r>
        <w:rPr>
          <w:rStyle w:val="Odwoanieprzypisudolnego"/>
        </w:rPr>
        <w:footnoteRef/>
      </w:r>
      <w:r>
        <w:t xml:space="preserve"> </w:t>
      </w:r>
      <w:r w:rsidRPr="000913E2">
        <w:rPr>
          <w:rFonts w:ascii="Calibri" w:hAnsi="Calibri" w:cs="Calibri"/>
        </w:rPr>
        <w:t xml:space="preserve">Por. </w:t>
      </w:r>
      <w:r w:rsidR="008B72DC" w:rsidRPr="000913E2">
        <w:rPr>
          <w:rFonts w:ascii="Calibri" w:hAnsi="Calibri" w:cs="Calibri"/>
        </w:rPr>
        <w:t xml:space="preserve">Uchwała </w:t>
      </w:r>
      <w:r w:rsidR="008B72DC">
        <w:rPr>
          <w:rFonts w:ascii="Calibri" w:hAnsi="Calibri" w:cs="Calibri"/>
        </w:rPr>
        <w:t>n</w:t>
      </w:r>
      <w:r w:rsidR="008B72DC" w:rsidRPr="000913E2">
        <w:rPr>
          <w:rFonts w:ascii="Calibri" w:hAnsi="Calibri" w:cs="Calibri"/>
        </w:rPr>
        <w:t xml:space="preserve">r </w:t>
      </w:r>
      <w:r w:rsidRPr="000913E2">
        <w:rPr>
          <w:rFonts w:ascii="Calibri" w:hAnsi="Calibri" w:cs="Calibri"/>
        </w:rPr>
        <w:t xml:space="preserve">XXXV/235/17 Rady Miejskiej </w:t>
      </w:r>
      <w:r>
        <w:rPr>
          <w:rFonts w:ascii="Calibri" w:hAnsi="Calibri" w:cs="Calibri"/>
        </w:rPr>
        <w:t>w</w:t>
      </w:r>
      <w:r w:rsidRPr="000913E2">
        <w:rPr>
          <w:rFonts w:ascii="Calibri" w:hAnsi="Calibri" w:cs="Calibri"/>
        </w:rPr>
        <w:t xml:space="preserve"> Krośniewicach</w:t>
      </w:r>
      <w:r>
        <w:rPr>
          <w:rFonts w:ascii="Calibri" w:hAnsi="Calibri" w:cs="Calibri"/>
        </w:rPr>
        <w:t xml:space="preserve"> </w:t>
      </w:r>
      <w:r w:rsidRPr="000913E2">
        <w:rPr>
          <w:rFonts w:ascii="Calibri" w:hAnsi="Calibri" w:cs="Calibri"/>
        </w:rPr>
        <w:t>z dnia 25 lipca 2017 r. w sprawie uchwalenia zmiany Studium uwarunkowań i kierunków zagospodarowania przestrzennego gminy Krośniewice</w:t>
      </w:r>
    </w:p>
  </w:footnote>
  <w:footnote w:id="28">
    <w:p w14:paraId="0E2CCE06" w14:textId="4F494000" w:rsidR="00FA2B49" w:rsidRPr="00FA2B49" w:rsidRDefault="00764192" w:rsidP="00FA2B49">
      <w:pPr>
        <w:pStyle w:val="Tekstprzypisudolnego"/>
        <w:jc w:val="left"/>
        <w:rPr>
          <w:rFonts w:ascii="Calibri" w:hAnsi="Calibri" w:cs="Calibri"/>
        </w:rPr>
      </w:pPr>
      <w:r w:rsidRPr="00FA2B49">
        <w:rPr>
          <w:rStyle w:val="Odwoanieprzypisudolnego"/>
          <w:rFonts w:ascii="Calibri" w:hAnsi="Calibri" w:cs="Calibri"/>
        </w:rPr>
        <w:footnoteRef/>
      </w:r>
      <w:r w:rsidRPr="00FA2B49">
        <w:rPr>
          <w:rFonts w:ascii="Calibri" w:hAnsi="Calibri" w:cs="Calibri"/>
        </w:rPr>
        <w:t xml:space="preserve"> </w:t>
      </w:r>
      <w:r w:rsidR="00F355E1" w:rsidRPr="00FA2B49">
        <w:rPr>
          <w:rFonts w:ascii="Calibri" w:hAnsi="Calibri" w:cs="Calibri"/>
        </w:rPr>
        <w:t xml:space="preserve">Najaktualniejszym dokumentem w sprawie prowadzenia gminnej ewidencji zabytków w Gminie jest </w:t>
      </w:r>
    </w:p>
    <w:p w14:paraId="2F49206B" w14:textId="77CE4237" w:rsidR="00764192" w:rsidRPr="00FA2B49" w:rsidRDefault="00FA2B49" w:rsidP="00FA2B49">
      <w:pPr>
        <w:pStyle w:val="Tekstprzypisudolnego"/>
        <w:jc w:val="left"/>
        <w:rPr>
          <w:rFonts w:ascii="Calibri" w:hAnsi="Calibri" w:cs="Calibri"/>
        </w:rPr>
      </w:pPr>
      <w:r w:rsidRPr="00FA2B49">
        <w:rPr>
          <w:rFonts w:ascii="Calibri" w:hAnsi="Calibri" w:cs="Calibri"/>
        </w:rPr>
        <w:t xml:space="preserve">Zarządzenie nr 143/2021 Burmistrza Krośniewic z dnia 22 grudnia 2021 - w sprawie przyjęcia Gminnej Ewidencji Zabytków z terenu miasta i gminy Krośniewice. </w:t>
      </w:r>
      <w:r w:rsidR="00F355E1" w:rsidRPr="00FA2B49">
        <w:rPr>
          <w:rFonts w:ascii="Calibri" w:hAnsi="Calibri" w:cs="Calibri"/>
        </w:rPr>
        <w:t>Pełną treść zarządzenia można znaleźć w Biuletynie Informacji Publicznej Gminy</w:t>
      </w:r>
      <w:r w:rsidR="00774BB7">
        <w:rPr>
          <w:rFonts w:ascii="Calibri" w:hAnsi="Calibri" w:cs="Calibri"/>
        </w:rPr>
        <w:t>.</w:t>
      </w:r>
    </w:p>
  </w:footnote>
  <w:footnote w:id="29">
    <w:p w14:paraId="3A6573DC" w14:textId="0AE8F116" w:rsidR="00FA2B49" w:rsidRPr="00FA2B49" w:rsidRDefault="00FA2B49" w:rsidP="00FA2B49">
      <w:pPr>
        <w:pStyle w:val="Tekstprzypisudolnego"/>
        <w:jc w:val="left"/>
        <w:rPr>
          <w:rFonts w:ascii="Calibri" w:hAnsi="Calibri" w:cs="Calibri"/>
        </w:rPr>
      </w:pPr>
      <w:r w:rsidRPr="00FA2B49">
        <w:rPr>
          <w:rStyle w:val="Odwoanieprzypisudolnego"/>
          <w:rFonts w:ascii="Calibri" w:hAnsi="Calibri" w:cs="Calibri"/>
        </w:rPr>
        <w:footnoteRef/>
      </w:r>
      <w:r w:rsidRPr="00FA2B49">
        <w:rPr>
          <w:rFonts w:ascii="Calibri" w:hAnsi="Calibri" w:cs="Calibri"/>
        </w:rPr>
        <w:t xml:space="preserve"> Zob.  uchwała nr LXXXVI/495/24 Rady Miejskiej w Krośniewicach z dnia 2 lutego 2024 r. w sprawie przyjęcia Gminnego Programu Opieki nad zabytkami dla miasta i gminy Krośniewice na lata 2024-2027</w:t>
      </w:r>
    </w:p>
  </w:footnote>
  <w:footnote w:id="30">
    <w:p w14:paraId="2D5877F3" w14:textId="77777777" w:rsidR="00764192" w:rsidRDefault="00764192" w:rsidP="00FA2B49">
      <w:pPr>
        <w:pStyle w:val="Tekstprzypisudolnego"/>
        <w:jc w:val="left"/>
      </w:pPr>
      <w:r w:rsidRPr="00FA2B49">
        <w:rPr>
          <w:rStyle w:val="Odwoanieprzypisudolnego"/>
          <w:rFonts w:ascii="Calibri" w:hAnsi="Calibri" w:cs="Calibri"/>
        </w:rPr>
        <w:footnoteRef/>
      </w:r>
      <w:r w:rsidRPr="00FA2B49">
        <w:rPr>
          <w:rFonts w:ascii="Calibri" w:hAnsi="Calibri" w:cs="Calibri"/>
        </w:rPr>
        <w:t xml:space="preserve"> Zob. Rola dziedzictwa kulturowego w rewitalizacji. Poradnik, red. Aleksandra Kułaczkowska – Ministerstwo Rozwoju opracowanie Instytut Rozwoju Miast na zlecenie Ministerstwa Rozwoju, Warszawa 2018</w:t>
      </w:r>
      <w:r>
        <w:rPr>
          <w:rFonts w:ascii="Calibri" w:hAnsi="Calibri" w:cs="Calibri"/>
        </w:rPr>
        <w:t xml:space="preserve"> </w:t>
      </w:r>
    </w:p>
  </w:footnote>
  <w:footnote w:id="31">
    <w:p w14:paraId="35FE5DD9" w14:textId="77777777" w:rsidR="00764192" w:rsidRDefault="00764192" w:rsidP="00FA2B49">
      <w:pPr>
        <w:pStyle w:val="Tekstprzypisudolnego"/>
        <w:jc w:val="left"/>
      </w:pPr>
      <w:r>
        <w:rPr>
          <w:rStyle w:val="Odwoanieprzypisudolnego"/>
        </w:rPr>
        <w:footnoteRef/>
      </w:r>
      <w:r>
        <w:rPr>
          <w:rFonts w:ascii="Calibri" w:hAnsi="Calibri" w:cs="Calibri"/>
        </w:rPr>
        <w:t xml:space="preserve"> Zob. Zintegrowane zarządzanie dziedzictwem kulturowym w rozwoju lokalnym, Poradnik dla gmin, Narodowy Instytut </w:t>
      </w:r>
      <w:proofErr w:type="gramStart"/>
      <w:r>
        <w:rPr>
          <w:rFonts w:ascii="Calibri" w:hAnsi="Calibri" w:cs="Calibri"/>
        </w:rPr>
        <w:t>Dziedzictwa  Warszawa</w:t>
      </w:r>
      <w:proofErr w:type="gramEnd"/>
      <w:r>
        <w:rPr>
          <w:rFonts w:ascii="Calibri" w:hAnsi="Calibri" w:cs="Calibri"/>
        </w:rPr>
        <w:t xml:space="preserve"> 2021 </w:t>
      </w:r>
    </w:p>
  </w:footnote>
  <w:footnote w:id="32">
    <w:p w14:paraId="488B17BC" w14:textId="77777777" w:rsidR="00E84AE6" w:rsidRPr="00E84AE6" w:rsidRDefault="00E84AE6" w:rsidP="00E84AE6">
      <w:pPr>
        <w:pStyle w:val="Tekstprzypisudolnego"/>
        <w:jc w:val="left"/>
        <w:rPr>
          <w:rFonts w:asciiTheme="minorHAnsi" w:hAnsiTheme="minorHAnsi" w:cstheme="minorHAnsi"/>
        </w:rPr>
      </w:pPr>
      <w:r w:rsidRPr="00E84AE6">
        <w:rPr>
          <w:rStyle w:val="Odwoanieprzypisudolnego"/>
          <w:rFonts w:asciiTheme="minorHAnsi" w:hAnsiTheme="minorHAnsi" w:cstheme="minorHAnsi"/>
        </w:rPr>
        <w:footnoteRef/>
      </w:r>
      <w:r w:rsidRPr="00E84AE6">
        <w:rPr>
          <w:rFonts w:asciiTheme="minorHAnsi" w:hAnsiTheme="minorHAnsi" w:cstheme="minorHAnsi"/>
        </w:rPr>
        <w:t xml:space="preserve"> Dlatego przyjęto następującą procedurę:</w:t>
      </w:r>
    </w:p>
    <w:p w14:paraId="1B1A5C45" w14:textId="77777777" w:rsidR="00E84AE6" w:rsidRPr="00E84AE6" w:rsidRDefault="00E84AE6" w:rsidP="00E84AE6">
      <w:pPr>
        <w:pStyle w:val="Tekstprzypisudolnego"/>
        <w:jc w:val="left"/>
        <w:rPr>
          <w:rFonts w:asciiTheme="minorHAnsi" w:hAnsiTheme="minorHAnsi" w:cstheme="minorHAnsi"/>
        </w:rPr>
      </w:pPr>
      <w:r w:rsidRPr="00E84AE6">
        <w:rPr>
          <w:rFonts w:asciiTheme="minorHAnsi" w:hAnsiTheme="minorHAnsi" w:cstheme="minorHAnsi"/>
        </w:rPr>
        <w:t>1) wyznaczono heksagony o powierzchni 1 ha dla całej gminy - stworzona została siatka heksagonalna.</w:t>
      </w:r>
    </w:p>
    <w:p w14:paraId="5D5275CB" w14:textId="77777777" w:rsidR="00E84AE6" w:rsidRPr="00E84AE6" w:rsidRDefault="00E84AE6" w:rsidP="00E84AE6">
      <w:pPr>
        <w:pStyle w:val="Tekstprzypisudolnego"/>
        <w:jc w:val="left"/>
        <w:rPr>
          <w:rFonts w:asciiTheme="minorHAnsi" w:hAnsiTheme="minorHAnsi" w:cstheme="minorHAnsi"/>
        </w:rPr>
      </w:pPr>
      <w:r w:rsidRPr="00E84AE6">
        <w:rPr>
          <w:rFonts w:asciiTheme="minorHAnsi" w:hAnsiTheme="minorHAnsi" w:cstheme="minorHAnsi"/>
        </w:rPr>
        <w:t>2) obliczono gęstość zabudowy dla wszystkich heksagonów.</w:t>
      </w:r>
    </w:p>
    <w:p w14:paraId="3F7DC576" w14:textId="77777777" w:rsidR="00E84AE6" w:rsidRPr="00E84AE6" w:rsidRDefault="00E84AE6" w:rsidP="00E84AE6">
      <w:pPr>
        <w:pStyle w:val="Tekstprzypisudolnego"/>
        <w:jc w:val="left"/>
        <w:rPr>
          <w:rFonts w:asciiTheme="minorHAnsi" w:hAnsiTheme="minorHAnsi" w:cstheme="minorHAnsi"/>
        </w:rPr>
      </w:pPr>
      <w:r w:rsidRPr="00E84AE6">
        <w:rPr>
          <w:rFonts w:asciiTheme="minorHAnsi" w:hAnsiTheme="minorHAnsi" w:cstheme="minorHAnsi"/>
        </w:rPr>
        <w:t>3) obliczono warunek brzegowy wejścia do obszaru rewitalizacji w następujący sposób: do obszaru zaliczą się te heksagony, których gęstość zabudowy &gt;= średnia gęstość + odchylenie standardowe, czyli jeśli gęstość będzie &gt;=2,07.</w:t>
      </w:r>
    </w:p>
    <w:p w14:paraId="570D1C1A" w14:textId="77777777" w:rsidR="00E84AE6" w:rsidRPr="00E84AE6" w:rsidRDefault="00E84AE6" w:rsidP="00E84AE6">
      <w:pPr>
        <w:pStyle w:val="Tekstprzypisudolnego"/>
        <w:jc w:val="left"/>
        <w:rPr>
          <w:rFonts w:asciiTheme="minorHAnsi" w:hAnsiTheme="minorHAnsi" w:cstheme="minorHAnsi"/>
        </w:rPr>
      </w:pPr>
      <w:r w:rsidRPr="00E84AE6">
        <w:rPr>
          <w:rFonts w:asciiTheme="minorHAnsi" w:hAnsiTheme="minorHAnsi" w:cstheme="minorHAnsi"/>
        </w:rPr>
        <w:t>4) za pomocą algebry mapowej wybrano te działki, które przecinają się z heksagonami wybranymi w punkcie 3; odrzuciłem te działki niezabudowane, które nie wpływały na nieciągłość obszaru.</w:t>
      </w:r>
    </w:p>
    <w:p w14:paraId="3ADC3D2F" w14:textId="2CFC024A" w:rsidR="00E84AE6" w:rsidRDefault="00E84AE6" w:rsidP="00E84AE6">
      <w:pPr>
        <w:pStyle w:val="Tekstprzypisudolnego"/>
        <w:jc w:val="left"/>
      </w:pPr>
      <w:r w:rsidRPr="00E84AE6">
        <w:rPr>
          <w:rFonts w:asciiTheme="minorHAnsi" w:hAnsiTheme="minorHAnsi" w:cstheme="minorHAnsi"/>
        </w:rPr>
        <w:t>5) wybór działek dodatkowo podyktowany był oceną zwartości zabudowy, tzn. wybrane zostały jedynie skupiska heksagonów. Kroki 4-5 dotyczyły już tylko jednostek wskazanych przez analizę wskaźnika syntetycznego IMD.</w:t>
      </w:r>
    </w:p>
  </w:footnote>
  <w:footnote w:id="33">
    <w:p w14:paraId="7DABDAEB" w14:textId="638EE190" w:rsidR="0005262A" w:rsidRPr="0005262A" w:rsidRDefault="0005262A" w:rsidP="0005262A">
      <w:pPr>
        <w:pStyle w:val="Tekstprzypisudolnego"/>
        <w:jc w:val="left"/>
        <w:rPr>
          <w:rFonts w:asciiTheme="minorHAnsi" w:hAnsiTheme="minorHAnsi" w:cstheme="minorHAnsi"/>
        </w:rPr>
      </w:pPr>
      <w:r w:rsidRPr="0005262A">
        <w:rPr>
          <w:rStyle w:val="Odwoanieprzypisudolnego"/>
          <w:rFonts w:asciiTheme="minorHAnsi" w:hAnsiTheme="minorHAnsi" w:cstheme="minorHAnsi"/>
        </w:rPr>
        <w:footnoteRef/>
      </w:r>
      <w:r w:rsidRPr="0005262A">
        <w:rPr>
          <w:rFonts w:asciiTheme="minorHAnsi" w:hAnsiTheme="minorHAnsi" w:cstheme="minorHAnsi"/>
        </w:rPr>
        <w:t xml:space="preserve"> Interpretację tę potwierdzały liczne organy nadzoru wojewody, stwierdzając nieważność uchwał obejmującej swoim zakresem rozległe tereny niezamieszkałe, jak np. pola uprawne, które nie wpisują się w definicję terenów wymagających rewitalizacji ustawowej, oraz podkreślając konieczność respektowania tak zakreślonej granicy włączeń.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9658A" w14:textId="50817E17" w:rsidR="00F405E8" w:rsidRPr="00AD2D77" w:rsidRDefault="00CB7C2D" w:rsidP="00AD2D77">
    <w:pPr>
      <w:jc w:val="center"/>
      <w:rPr>
        <w:rFonts w:cs="Calibri"/>
        <w:bCs/>
        <w:i/>
        <w:iCs/>
        <w:sz w:val="20"/>
        <w:szCs w:val="20"/>
      </w:rPr>
    </w:pPr>
    <w:r w:rsidRPr="00CB7C2D">
      <w:rPr>
        <w:rFonts w:cs="Calibri"/>
        <w:bCs/>
        <w:i/>
        <w:iCs/>
        <w:sz w:val="20"/>
        <w:szCs w:val="20"/>
      </w:rPr>
      <w:t>Diagnoza służąca wyznaczeniu obszaru zdegradowanego i obszaru rewitalizacji Krośniewic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26852"/>
    <w:multiLevelType w:val="multilevel"/>
    <w:tmpl w:val="B10A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E5A4A"/>
    <w:multiLevelType w:val="multilevel"/>
    <w:tmpl w:val="20DE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F72C8"/>
    <w:multiLevelType w:val="multilevel"/>
    <w:tmpl w:val="4E9E67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C246008"/>
    <w:multiLevelType w:val="multilevel"/>
    <w:tmpl w:val="B754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35875"/>
    <w:multiLevelType w:val="multilevel"/>
    <w:tmpl w:val="8EEA3FB2"/>
    <w:styleLink w:val="LFO2"/>
    <w:lvl w:ilvl="0">
      <w:numFmt w:val="bullet"/>
      <w:pStyle w:val="Listapunktowana"/>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15755292"/>
    <w:multiLevelType w:val="multilevel"/>
    <w:tmpl w:val="E020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E1E37"/>
    <w:multiLevelType w:val="multilevel"/>
    <w:tmpl w:val="9D5E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9F15B5"/>
    <w:multiLevelType w:val="hybridMultilevel"/>
    <w:tmpl w:val="0F5C9492"/>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EB7611"/>
    <w:multiLevelType w:val="hybridMultilevel"/>
    <w:tmpl w:val="667051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B821C4"/>
    <w:multiLevelType w:val="hybridMultilevel"/>
    <w:tmpl w:val="1D5A4D60"/>
    <w:lvl w:ilvl="0" w:tplc="5D560B8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4E6D4E"/>
    <w:multiLevelType w:val="multilevel"/>
    <w:tmpl w:val="23BC2700"/>
    <w:styleLink w:val="LFO1"/>
    <w:lvl w:ilvl="0">
      <w:numFmt w:val="bullet"/>
      <w:pStyle w:val="Listapunktowana2"/>
      <w:lvlText w:val=""/>
      <w:lvlJc w:val="left"/>
      <w:pPr>
        <w:ind w:left="4167" w:hanging="340"/>
      </w:pPr>
      <w:rPr>
        <w:rFonts w:ascii="Symbol" w:hAnsi="Symbol"/>
        <w:color w:val="auto"/>
        <w:sz w:val="2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28917A49"/>
    <w:multiLevelType w:val="multilevel"/>
    <w:tmpl w:val="0E38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7508B5"/>
    <w:multiLevelType w:val="multilevel"/>
    <w:tmpl w:val="7F9639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D3D4A8D"/>
    <w:multiLevelType w:val="hybridMultilevel"/>
    <w:tmpl w:val="97E4A7D0"/>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E007447"/>
    <w:multiLevelType w:val="multilevel"/>
    <w:tmpl w:val="15CE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2318AA"/>
    <w:multiLevelType w:val="multilevel"/>
    <w:tmpl w:val="DE7A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CE4A0D"/>
    <w:multiLevelType w:val="multilevel"/>
    <w:tmpl w:val="5400114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8585705"/>
    <w:multiLevelType w:val="hybridMultilevel"/>
    <w:tmpl w:val="378A1F22"/>
    <w:lvl w:ilvl="0" w:tplc="531A73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B573975"/>
    <w:multiLevelType w:val="multilevel"/>
    <w:tmpl w:val="1BC22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8D4AF4"/>
    <w:multiLevelType w:val="hybridMultilevel"/>
    <w:tmpl w:val="3BACAF12"/>
    <w:lvl w:ilvl="0" w:tplc="FFFFFFFF">
      <w:start w:val="1"/>
      <w:numFmt w:val="bullet"/>
      <w:lvlText w:val=""/>
      <w:lvlJc w:val="left"/>
      <w:pPr>
        <w:ind w:left="720" w:hanging="360"/>
      </w:pPr>
      <w:rPr>
        <w:rFonts w:ascii="Symbol" w:hAnsi="Symbol" w:hint="default"/>
      </w:rPr>
    </w:lvl>
    <w:lvl w:ilvl="1" w:tplc="5D560B86">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FA7294E"/>
    <w:multiLevelType w:val="multilevel"/>
    <w:tmpl w:val="AD96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A074B2"/>
    <w:multiLevelType w:val="multilevel"/>
    <w:tmpl w:val="1E16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D921D2"/>
    <w:multiLevelType w:val="multilevel"/>
    <w:tmpl w:val="7260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AE793B"/>
    <w:multiLevelType w:val="hybridMultilevel"/>
    <w:tmpl w:val="28FCA396"/>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6945577"/>
    <w:multiLevelType w:val="hybridMultilevel"/>
    <w:tmpl w:val="AEFC7206"/>
    <w:lvl w:ilvl="0" w:tplc="5D560B86">
      <w:start w:val="1"/>
      <w:numFmt w:val="bullet"/>
      <w:lvlText w:val=""/>
      <w:lvlJc w:val="left"/>
      <w:pPr>
        <w:ind w:left="720" w:hanging="360"/>
      </w:pPr>
      <w:rPr>
        <w:rFonts w:ascii="Symbol" w:hAnsi="Symbol" w:hint="default"/>
      </w:rPr>
    </w:lvl>
    <w:lvl w:ilvl="1" w:tplc="CEFE6306">
      <w:numFmt w:val="bullet"/>
      <w:lvlText w:val="•"/>
      <w:lvlJc w:val="left"/>
      <w:pPr>
        <w:ind w:left="1440" w:hanging="360"/>
      </w:pPr>
      <w:rPr>
        <w:rFonts w:ascii="Calibri" w:eastAsia="DejaVuSans"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6A277BE"/>
    <w:multiLevelType w:val="multilevel"/>
    <w:tmpl w:val="2F089C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8035577"/>
    <w:multiLevelType w:val="hybridMultilevel"/>
    <w:tmpl w:val="1C4E657C"/>
    <w:lvl w:ilvl="0" w:tplc="5D560B8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B226FD"/>
    <w:multiLevelType w:val="hybridMultilevel"/>
    <w:tmpl w:val="C37034EC"/>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9336381"/>
    <w:multiLevelType w:val="multilevel"/>
    <w:tmpl w:val="1056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F5643B"/>
    <w:multiLevelType w:val="hybridMultilevel"/>
    <w:tmpl w:val="0420C07A"/>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0656ABA"/>
    <w:multiLevelType w:val="hybridMultilevel"/>
    <w:tmpl w:val="548018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AE47FA"/>
    <w:multiLevelType w:val="multilevel"/>
    <w:tmpl w:val="E7B47B68"/>
    <w:styleLink w:val="LFO3"/>
    <w:lvl w:ilvl="0">
      <w:numFmt w:val="bullet"/>
      <w:pStyle w:val="Wypunktowanie"/>
      <w:lvlText w:val="-"/>
      <w:lvlJc w:val="left"/>
      <w:pPr>
        <w:ind w:left="720" w:hanging="360"/>
      </w:pPr>
      <w:rPr>
        <w:rFonts w:ascii="Calibri" w:hAnsi="Calibri"/>
        <w:b w:val="0"/>
        <w:i w:val="0"/>
        <w:color w:val="666666"/>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59D80C5A"/>
    <w:multiLevelType w:val="multilevel"/>
    <w:tmpl w:val="39D0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6B3C38"/>
    <w:multiLevelType w:val="hybridMultilevel"/>
    <w:tmpl w:val="40EAB6B6"/>
    <w:lvl w:ilvl="0" w:tplc="5D560B86">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EC64C1"/>
    <w:multiLevelType w:val="multilevel"/>
    <w:tmpl w:val="0B6A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611E0E"/>
    <w:multiLevelType w:val="hybridMultilevel"/>
    <w:tmpl w:val="8370E520"/>
    <w:lvl w:ilvl="0" w:tplc="5D560B8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A260654"/>
    <w:multiLevelType w:val="multilevel"/>
    <w:tmpl w:val="DA58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6162E8"/>
    <w:multiLevelType w:val="multilevel"/>
    <w:tmpl w:val="6CC4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395561"/>
    <w:multiLevelType w:val="multilevel"/>
    <w:tmpl w:val="458A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974393"/>
    <w:multiLevelType w:val="hybridMultilevel"/>
    <w:tmpl w:val="E304A908"/>
    <w:lvl w:ilvl="0" w:tplc="FFFFFFFF">
      <w:start w:val="1"/>
      <w:numFmt w:val="bullet"/>
      <w:lvlText w:val=""/>
      <w:lvlJc w:val="left"/>
      <w:pPr>
        <w:ind w:left="720" w:hanging="360"/>
      </w:pPr>
      <w:rPr>
        <w:rFonts w:ascii="Symbol" w:hAnsi="Symbol" w:hint="default"/>
      </w:rPr>
    </w:lvl>
    <w:lvl w:ilvl="1" w:tplc="5D560B86">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26718B"/>
    <w:multiLevelType w:val="multilevel"/>
    <w:tmpl w:val="6CDC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52D75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EC76C45"/>
    <w:multiLevelType w:val="hybridMultilevel"/>
    <w:tmpl w:val="B29203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49840178">
    <w:abstractNumId w:val="10"/>
  </w:num>
  <w:num w:numId="2" w16cid:durableId="2070380052">
    <w:abstractNumId w:val="4"/>
  </w:num>
  <w:num w:numId="3" w16cid:durableId="693651333">
    <w:abstractNumId w:val="31"/>
  </w:num>
  <w:num w:numId="4" w16cid:durableId="2040734689">
    <w:abstractNumId w:val="16"/>
  </w:num>
  <w:num w:numId="5" w16cid:durableId="1314287457">
    <w:abstractNumId w:val="12"/>
  </w:num>
  <w:num w:numId="6" w16cid:durableId="113408005">
    <w:abstractNumId w:val="25"/>
  </w:num>
  <w:num w:numId="7" w16cid:durableId="639310716">
    <w:abstractNumId w:val="2"/>
  </w:num>
  <w:num w:numId="8" w16cid:durableId="1168859851">
    <w:abstractNumId w:val="24"/>
  </w:num>
  <w:num w:numId="9" w16cid:durableId="1891653256">
    <w:abstractNumId w:val="35"/>
  </w:num>
  <w:num w:numId="10" w16cid:durableId="717557873">
    <w:abstractNumId w:val="39"/>
  </w:num>
  <w:num w:numId="11" w16cid:durableId="638845461">
    <w:abstractNumId w:val="9"/>
  </w:num>
  <w:num w:numId="12" w16cid:durableId="949361832">
    <w:abstractNumId w:val="19"/>
  </w:num>
  <w:num w:numId="13" w16cid:durableId="1212613266">
    <w:abstractNumId w:val="26"/>
  </w:num>
  <w:num w:numId="14" w16cid:durableId="1530531004">
    <w:abstractNumId w:val="27"/>
  </w:num>
  <w:num w:numId="15" w16cid:durableId="91634666">
    <w:abstractNumId w:val="13"/>
  </w:num>
  <w:num w:numId="16" w16cid:durableId="1083722362">
    <w:abstractNumId w:val="34"/>
  </w:num>
  <w:num w:numId="17" w16cid:durableId="22949260">
    <w:abstractNumId w:val="17"/>
  </w:num>
  <w:num w:numId="18" w16cid:durableId="1991396560">
    <w:abstractNumId w:val="42"/>
  </w:num>
  <w:num w:numId="19" w16cid:durableId="1757625762">
    <w:abstractNumId w:val="33"/>
  </w:num>
  <w:num w:numId="20" w16cid:durableId="1729306022">
    <w:abstractNumId w:val="7"/>
  </w:num>
  <w:num w:numId="21" w16cid:durableId="774404536">
    <w:abstractNumId w:val="29"/>
  </w:num>
  <w:num w:numId="22" w16cid:durableId="1313414937">
    <w:abstractNumId w:val="23"/>
  </w:num>
  <w:num w:numId="23" w16cid:durableId="886139914">
    <w:abstractNumId w:val="22"/>
  </w:num>
  <w:num w:numId="24" w16cid:durableId="227154892">
    <w:abstractNumId w:val="0"/>
  </w:num>
  <w:num w:numId="25" w16cid:durableId="774058354">
    <w:abstractNumId w:val="41"/>
  </w:num>
  <w:num w:numId="26" w16cid:durableId="471869755">
    <w:abstractNumId w:val="20"/>
  </w:num>
  <w:num w:numId="27" w16cid:durableId="457455074">
    <w:abstractNumId w:val="37"/>
  </w:num>
  <w:num w:numId="28" w16cid:durableId="318847573">
    <w:abstractNumId w:val="14"/>
  </w:num>
  <w:num w:numId="29" w16cid:durableId="941303658">
    <w:abstractNumId w:val="6"/>
  </w:num>
  <w:num w:numId="30" w16cid:durableId="237859905">
    <w:abstractNumId w:val="32"/>
  </w:num>
  <w:num w:numId="31" w16cid:durableId="759444382">
    <w:abstractNumId w:val="15"/>
  </w:num>
  <w:num w:numId="32" w16cid:durableId="946891078">
    <w:abstractNumId w:val="18"/>
  </w:num>
  <w:num w:numId="33" w16cid:durableId="1883861664">
    <w:abstractNumId w:val="30"/>
  </w:num>
  <w:num w:numId="34" w16cid:durableId="1536499958">
    <w:abstractNumId w:val="8"/>
  </w:num>
  <w:num w:numId="35" w16cid:durableId="599025463">
    <w:abstractNumId w:val="38"/>
  </w:num>
  <w:num w:numId="36" w16cid:durableId="1656493838">
    <w:abstractNumId w:val="36"/>
  </w:num>
  <w:num w:numId="37" w16cid:durableId="575676663">
    <w:abstractNumId w:val="1"/>
  </w:num>
  <w:num w:numId="38" w16cid:durableId="261643653">
    <w:abstractNumId w:val="28"/>
  </w:num>
  <w:num w:numId="39" w16cid:durableId="825782229">
    <w:abstractNumId w:val="40"/>
  </w:num>
  <w:num w:numId="40" w16cid:durableId="680278877">
    <w:abstractNumId w:val="3"/>
  </w:num>
  <w:num w:numId="41" w16cid:durableId="1776168443">
    <w:abstractNumId w:val="5"/>
  </w:num>
  <w:num w:numId="42" w16cid:durableId="431126944">
    <w:abstractNumId w:val="11"/>
  </w:num>
  <w:num w:numId="43" w16cid:durableId="1464880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FFC"/>
    <w:rsid w:val="00000677"/>
    <w:rsid w:val="00001C69"/>
    <w:rsid w:val="00004AAA"/>
    <w:rsid w:val="00012BA7"/>
    <w:rsid w:val="0001729C"/>
    <w:rsid w:val="000230AC"/>
    <w:rsid w:val="00023CAC"/>
    <w:rsid w:val="00032B7B"/>
    <w:rsid w:val="00041C7F"/>
    <w:rsid w:val="00043E70"/>
    <w:rsid w:val="00045FD1"/>
    <w:rsid w:val="0005262A"/>
    <w:rsid w:val="00052B79"/>
    <w:rsid w:val="00062F55"/>
    <w:rsid w:val="000660E2"/>
    <w:rsid w:val="000707D8"/>
    <w:rsid w:val="00080BB2"/>
    <w:rsid w:val="00083DCB"/>
    <w:rsid w:val="00086942"/>
    <w:rsid w:val="000913E2"/>
    <w:rsid w:val="000926D8"/>
    <w:rsid w:val="000969ED"/>
    <w:rsid w:val="000A26E6"/>
    <w:rsid w:val="000A4EFE"/>
    <w:rsid w:val="000A5AE0"/>
    <w:rsid w:val="000B2678"/>
    <w:rsid w:val="000B3B8D"/>
    <w:rsid w:val="000B47E9"/>
    <w:rsid w:val="000C04C0"/>
    <w:rsid w:val="000C073B"/>
    <w:rsid w:val="000C3271"/>
    <w:rsid w:val="000D038F"/>
    <w:rsid w:val="000D4C19"/>
    <w:rsid w:val="000E05AA"/>
    <w:rsid w:val="000E6476"/>
    <w:rsid w:val="000E7D80"/>
    <w:rsid w:val="000F242E"/>
    <w:rsid w:val="000F2D6B"/>
    <w:rsid w:val="00112778"/>
    <w:rsid w:val="001155FF"/>
    <w:rsid w:val="00131763"/>
    <w:rsid w:val="001328FC"/>
    <w:rsid w:val="001329B4"/>
    <w:rsid w:val="001431B1"/>
    <w:rsid w:val="00146E32"/>
    <w:rsid w:val="00151356"/>
    <w:rsid w:val="001559D0"/>
    <w:rsid w:val="00174C87"/>
    <w:rsid w:val="00177DF0"/>
    <w:rsid w:val="001817D5"/>
    <w:rsid w:val="00185C66"/>
    <w:rsid w:val="00186168"/>
    <w:rsid w:val="0018774D"/>
    <w:rsid w:val="00194E66"/>
    <w:rsid w:val="001A48F4"/>
    <w:rsid w:val="001A4AAB"/>
    <w:rsid w:val="001A609F"/>
    <w:rsid w:val="001B2AD7"/>
    <w:rsid w:val="001B50A4"/>
    <w:rsid w:val="001B53FA"/>
    <w:rsid w:val="001B6F6D"/>
    <w:rsid w:val="001D3431"/>
    <w:rsid w:val="001D4AEC"/>
    <w:rsid w:val="001E67A2"/>
    <w:rsid w:val="001E7EE4"/>
    <w:rsid w:val="001F3664"/>
    <w:rsid w:val="001F4304"/>
    <w:rsid w:val="001F6F1D"/>
    <w:rsid w:val="00205215"/>
    <w:rsid w:val="00207D28"/>
    <w:rsid w:val="00211A00"/>
    <w:rsid w:val="00214293"/>
    <w:rsid w:val="00215CA2"/>
    <w:rsid w:val="00216151"/>
    <w:rsid w:val="00224DA1"/>
    <w:rsid w:val="00230741"/>
    <w:rsid w:val="00247A19"/>
    <w:rsid w:val="00252410"/>
    <w:rsid w:val="00252DD1"/>
    <w:rsid w:val="0025690F"/>
    <w:rsid w:val="002748CF"/>
    <w:rsid w:val="0027706B"/>
    <w:rsid w:val="00280136"/>
    <w:rsid w:val="00285ACB"/>
    <w:rsid w:val="0028613C"/>
    <w:rsid w:val="00291283"/>
    <w:rsid w:val="00295F1A"/>
    <w:rsid w:val="002961C9"/>
    <w:rsid w:val="002B162A"/>
    <w:rsid w:val="002B1694"/>
    <w:rsid w:val="002B3FED"/>
    <w:rsid w:val="002B543D"/>
    <w:rsid w:val="002B72F0"/>
    <w:rsid w:val="002C1466"/>
    <w:rsid w:val="002C2738"/>
    <w:rsid w:val="002C517D"/>
    <w:rsid w:val="002C5F11"/>
    <w:rsid w:val="002D0F44"/>
    <w:rsid w:val="002D13E4"/>
    <w:rsid w:val="002D318C"/>
    <w:rsid w:val="002D6249"/>
    <w:rsid w:val="002D6579"/>
    <w:rsid w:val="002E16DF"/>
    <w:rsid w:val="002E2124"/>
    <w:rsid w:val="002E2D8E"/>
    <w:rsid w:val="002F3956"/>
    <w:rsid w:val="002F4485"/>
    <w:rsid w:val="002F5F6E"/>
    <w:rsid w:val="003000AC"/>
    <w:rsid w:val="003026A2"/>
    <w:rsid w:val="003075D0"/>
    <w:rsid w:val="00312828"/>
    <w:rsid w:val="00312FAA"/>
    <w:rsid w:val="003154B0"/>
    <w:rsid w:val="00316797"/>
    <w:rsid w:val="00316D5B"/>
    <w:rsid w:val="00320256"/>
    <w:rsid w:val="00322E88"/>
    <w:rsid w:val="00322FFB"/>
    <w:rsid w:val="00334BED"/>
    <w:rsid w:val="0033705B"/>
    <w:rsid w:val="003451A4"/>
    <w:rsid w:val="003513CA"/>
    <w:rsid w:val="00351807"/>
    <w:rsid w:val="003553FF"/>
    <w:rsid w:val="00366407"/>
    <w:rsid w:val="003803E6"/>
    <w:rsid w:val="00391B1D"/>
    <w:rsid w:val="003A4B83"/>
    <w:rsid w:val="003A7E2D"/>
    <w:rsid w:val="003B0568"/>
    <w:rsid w:val="003B1CCC"/>
    <w:rsid w:val="003B5185"/>
    <w:rsid w:val="003C00A9"/>
    <w:rsid w:val="003D0239"/>
    <w:rsid w:val="003D118C"/>
    <w:rsid w:val="003D2355"/>
    <w:rsid w:val="003D3512"/>
    <w:rsid w:val="003D353F"/>
    <w:rsid w:val="003E01B6"/>
    <w:rsid w:val="003E09FD"/>
    <w:rsid w:val="003E3CAC"/>
    <w:rsid w:val="003E5037"/>
    <w:rsid w:val="003F2376"/>
    <w:rsid w:val="004123EC"/>
    <w:rsid w:val="0041689C"/>
    <w:rsid w:val="004201BF"/>
    <w:rsid w:val="00422064"/>
    <w:rsid w:val="00425FE3"/>
    <w:rsid w:val="00430349"/>
    <w:rsid w:val="00430612"/>
    <w:rsid w:val="0044148B"/>
    <w:rsid w:val="004449A9"/>
    <w:rsid w:val="00446C54"/>
    <w:rsid w:val="004513A3"/>
    <w:rsid w:val="00452D13"/>
    <w:rsid w:val="004541B5"/>
    <w:rsid w:val="004622D4"/>
    <w:rsid w:val="00462E75"/>
    <w:rsid w:val="0046616D"/>
    <w:rsid w:val="00471510"/>
    <w:rsid w:val="00474617"/>
    <w:rsid w:val="00475626"/>
    <w:rsid w:val="00483870"/>
    <w:rsid w:val="004938CB"/>
    <w:rsid w:val="004A0EC6"/>
    <w:rsid w:val="004A7CBA"/>
    <w:rsid w:val="004B2CC1"/>
    <w:rsid w:val="004C6A20"/>
    <w:rsid w:val="004C7061"/>
    <w:rsid w:val="004C7B43"/>
    <w:rsid w:val="004D1E2D"/>
    <w:rsid w:val="004D7753"/>
    <w:rsid w:val="004F233A"/>
    <w:rsid w:val="00500751"/>
    <w:rsid w:val="00500D71"/>
    <w:rsid w:val="00510E42"/>
    <w:rsid w:val="00515CA7"/>
    <w:rsid w:val="0052456D"/>
    <w:rsid w:val="00542097"/>
    <w:rsid w:val="00550158"/>
    <w:rsid w:val="00551CE4"/>
    <w:rsid w:val="005542A3"/>
    <w:rsid w:val="00561CA7"/>
    <w:rsid w:val="00563FA4"/>
    <w:rsid w:val="00563FE5"/>
    <w:rsid w:val="00567F1E"/>
    <w:rsid w:val="00581A4C"/>
    <w:rsid w:val="00582E50"/>
    <w:rsid w:val="00583761"/>
    <w:rsid w:val="00585C26"/>
    <w:rsid w:val="00587542"/>
    <w:rsid w:val="005922B3"/>
    <w:rsid w:val="00594EA2"/>
    <w:rsid w:val="005A199E"/>
    <w:rsid w:val="005C047E"/>
    <w:rsid w:val="005D4894"/>
    <w:rsid w:val="005D6EDC"/>
    <w:rsid w:val="005E601D"/>
    <w:rsid w:val="005E7B49"/>
    <w:rsid w:val="005F3EC4"/>
    <w:rsid w:val="005F47FF"/>
    <w:rsid w:val="005F643E"/>
    <w:rsid w:val="00611F8A"/>
    <w:rsid w:val="00612274"/>
    <w:rsid w:val="006132E1"/>
    <w:rsid w:val="00625148"/>
    <w:rsid w:val="00625FDF"/>
    <w:rsid w:val="006317DB"/>
    <w:rsid w:val="00640278"/>
    <w:rsid w:val="0064220B"/>
    <w:rsid w:val="00660FB8"/>
    <w:rsid w:val="00672FA0"/>
    <w:rsid w:val="00673510"/>
    <w:rsid w:val="00673E76"/>
    <w:rsid w:val="00674F94"/>
    <w:rsid w:val="00686CEF"/>
    <w:rsid w:val="006877E2"/>
    <w:rsid w:val="00690E2D"/>
    <w:rsid w:val="0069229C"/>
    <w:rsid w:val="00692C72"/>
    <w:rsid w:val="006937FF"/>
    <w:rsid w:val="00694436"/>
    <w:rsid w:val="006A1D20"/>
    <w:rsid w:val="006A4ED5"/>
    <w:rsid w:val="006B0222"/>
    <w:rsid w:val="006C0B28"/>
    <w:rsid w:val="006D69FB"/>
    <w:rsid w:val="006E2B37"/>
    <w:rsid w:val="006E51DF"/>
    <w:rsid w:val="006E6FF5"/>
    <w:rsid w:val="006F0323"/>
    <w:rsid w:val="006F2981"/>
    <w:rsid w:val="006F4557"/>
    <w:rsid w:val="006F5A93"/>
    <w:rsid w:val="00702127"/>
    <w:rsid w:val="00704493"/>
    <w:rsid w:val="00705F88"/>
    <w:rsid w:val="007144D6"/>
    <w:rsid w:val="00715112"/>
    <w:rsid w:val="00716A6C"/>
    <w:rsid w:val="00723574"/>
    <w:rsid w:val="00723B85"/>
    <w:rsid w:val="00726CEA"/>
    <w:rsid w:val="00731E8E"/>
    <w:rsid w:val="00733132"/>
    <w:rsid w:val="007332E8"/>
    <w:rsid w:val="00733D2A"/>
    <w:rsid w:val="00744D2B"/>
    <w:rsid w:val="00750BDD"/>
    <w:rsid w:val="00764192"/>
    <w:rsid w:val="00774BB7"/>
    <w:rsid w:val="00775A21"/>
    <w:rsid w:val="0077764C"/>
    <w:rsid w:val="00784BB6"/>
    <w:rsid w:val="00786F25"/>
    <w:rsid w:val="007919C1"/>
    <w:rsid w:val="00793ABC"/>
    <w:rsid w:val="007A030F"/>
    <w:rsid w:val="007A59C8"/>
    <w:rsid w:val="007B73F0"/>
    <w:rsid w:val="007C1C80"/>
    <w:rsid w:val="007C5C13"/>
    <w:rsid w:val="007D1AB4"/>
    <w:rsid w:val="007D6133"/>
    <w:rsid w:val="007D78C5"/>
    <w:rsid w:val="007E07E0"/>
    <w:rsid w:val="007E72FD"/>
    <w:rsid w:val="007F6859"/>
    <w:rsid w:val="007F6D22"/>
    <w:rsid w:val="00800E6B"/>
    <w:rsid w:val="008100D8"/>
    <w:rsid w:val="008118D4"/>
    <w:rsid w:val="0083583A"/>
    <w:rsid w:val="008503B4"/>
    <w:rsid w:val="00853FE2"/>
    <w:rsid w:val="00870A6B"/>
    <w:rsid w:val="00877A12"/>
    <w:rsid w:val="00885A48"/>
    <w:rsid w:val="00887765"/>
    <w:rsid w:val="008907E1"/>
    <w:rsid w:val="00895A36"/>
    <w:rsid w:val="008A03E4"/>
    <w:rsid w:val="008A2DCF"/>
    <w:rsid w:val="008B3735"/>
    <w:rsid w:val="008B4709"/>
    <w:rsid w:val="008B72DC"/>
    <w:rsid w:val="008C062A"/>
    <w:rsid w:val="008C35D4"/>
    <w:rsid w:val="008C6E49"/>
    <w:rsid w:val="008D17EB"/>
    <w:rsid w:val="008D4387"/>
    <w:rsid w:val="008D5137"/>
    <w:rsid w:val="008E1DDE"/>
    <w:rsid w:val="008E31FB"/>
    <w:rsid w:val="008F0B89"/>
    <w:rsid w:val="008F6CBD"/>
    <w:rsid w:val="00905E84"/>
    <w:rsid w:val="009125B2"/>
    <w:rsid w:val="00913AC6"/>
    <w:rsid w:val="00915B49"/>
    <w:rsid w:val="009166AF"/>
    <w:rsid w:val="00917F32"/>
    <w:rsid w:val="00924A85"/>
    <w:rsid w:val="009328EB"/>
    <w:rsid w:val="00940E0D"/>
    <w:rsid w:val="00941835"/>
    <w:rsid w:val="009445EB"/>
    <w:rsid w:val="00947BDF"/>
    <w:rsid w:val="00950E6F"/>
    <w:rsid w:val="009511F2"/>
    <w:rsid w:val="0095666B"/>
    <w:rsid w:val="00957980"/>
    <w:rsid w:val="0096129D"/>
    <w:rsid w:val="0096376C"/>
    <w:rsid w:val="0097008B"/>
    <w:rsid w:val="00974EBD"/>
    <w:rsid w:val="009762FB"/>
    <w:rsid w:val="0097665C"/>
    <w:rsid w:val="00976847"/>
    <w:rsid w:val="009817E2"/>
    <w:rsid w:val="00982F17"/>
    <w:rsid w:val="009871AE"/>
    <w:rsid w:val="009943D1"/>
    <w:rsid w:val="009B4269"/>
    <w:rsid w:val="009C63EC"/>
    <w:rsid w:val="009E3084"/>
    <w:rsid w:val="009F0A7D"/>
    <w:rsid w:val="009F1C95"/>
    <w:rsid w:val="009F2B5F"/>
    <w:rsid w:val="009F6A17"/>
    <w:rsid w:val="00A0046A"/>
    <w:rsid w:val="00A02009"/>
    <w:rsid w:val="00A02828"/>
    <w:rsid w:val="00A07837"/>
    <w:rsid w:val="00A16D8E"/>
    <w:rsid w:val="00A2246C"/>
    <w:rsid w:val="00A25E9B"/>
    <w:rsid w:val="00A260FC"/>
    <w:rsid w:val="00A342CF"/>
    <w:rsid w:val="00A406C1"/>
    <w:rsid w:val="00A430CD"/>
    <w:rsid w:val="00A46264"/>
    <w:rsid w:val="00A52DBF"/>
    <w:rsid w:val="00A56478"/>
    <w:rsid w:val="00A56B60"/>
    <w:rsid w:val="00A71313"/>
    <w:rsid w:val="00A71F59"/>
    <w:rsid w:val="00A74E48"/>
    <w:rsid w:val="00A81763"/>
    <w:rsid w:val="00A85923"/>
    <w:rsid w:val="00A93357"/>
    <w:rsid w:val="00A96AEF"/>
    <w:rsid w:val="00A97709"/>
    <w:rsid w:val="00AA7066"/>
    <w:rsid w:val="00AB0DBF"/>
    <w:rsid w:val="00AC400E"/>
    <w:rsid w:val="00AC5819"/>
    <w:rsid w:val="00AC5D67"/>
    <w:rsid w:val="00AC6723"/>
    <w:rsid w:val="00AC7084"/>
    <w:rsid w:val="00AD2D77"/>
    <w:rsid w:val="00AD4DA5"/>
    <w:rsid w:val="00AD6C99"/>
    <w:rsid w:val="00AE5B4F"/>
    <w:rsid w:val="00AF1F31"/>
    <w:rsid w:val="00AF3F28"/>
    <w:rsid w:val="00B02540"/>
    <w:rsid w:val="00B03AA5"/>
    <w:rsid w:val="00B0750C"/>
    <w:rsid w:val="00B42132"/>
    <w:rsid w:val="00B51A35"/>
    <w:rsid w:val="00B53EEA"/>
    <w:rsid w:val="00B54FE4"/>
    <w:rsid w:val="00B71CC0"/>
    <w:rsid w:val="00B71EEB"/>
    <w:rsid w:val="00B76F26"/>
    <w:rsid w:val="00B76FEE"/>
    <w:rsid w:val="00B8047B"/>
    <w:rsid w:val="00B80592"/>
    <w:rsid w:val="00B9109B"/>
    <w:rsid w:val="00B92CB8"/>
    <w:rsid w:val="00B97DA5"/>
    <w:rsid w:val="00BA535A"/>
    <w:rsid w:val="00BB08EB"/>
    <w:rsid w:val="00BB52D6"/>
    <w:rsid w:val="00BC044A"/>
    <w:rsid w:val="00BD2057"/>
    <w:rsid w:val="00BD2571"/>
    <w:rsid w:val="00BF2478"/>
    <w:rsid w:val="00BF4FFC"/>
    <w:rsid w:val="00C02A32"/>
    <w:rsid w:val="00C02B48"/>
    <w:rsid w:val="00C0395A"/>
    <w:rsid w:val="00C127A2"/>
    <w:rsid w:val="00C2060A"/>
    <w:rsid w:val="00C24CDF"/>
    <w:rsid w:val="00C2556D"/>
    <w:rsid w:val="00C2688E"/>
    <w:rsid w:val="00C26FFC"/>
    <w:rsid w:val="00C31A1A"/>
    <w:rsid w:val="00C33CDF"/>
    <w:rsid w:val="00C33D9C"/>
    <w:rsid w:val="00C430CF"/>
    <w:rsid w:val="00C435CD"/>
    <w:rsid w:val="00C453FB"/>
    <w:rsid w:val="00C50BF2"/>
    <w:rsid w:val="00C637D0"/>
    <w:rsid w:val="00C70463"/>
    <w:rsid w:val="00C756CE"/>
    <w:rsid w:val="00C76003"/>
    <w:rsid w:val="00C81AC2"/>
    <w:rsid w:val="00C841A0"/>
    <w:rsid w:val="00C85610"/>
    <w:rsid w:val="00C874E2"/>
    <w:rsid w:val="00C92EBD"/>
    <w:rsid w:val="00C96E18"/>
    <w:rsid w:val="00CA3284"/>
    <w:rsid w:val="00CA3F78"/>
    <w:rsid w:val="00CA4F25"/>
    <w:rsid w:val="00CA50EE"/>
    <w:rsid w:val="00CA5E23"/>
    <w:rsid w:val="00CB7C2D"/>
    <w:rsid w:val="00CC3178"/>
    <w:rsid w:val="00CC59D7"/>
    <w:rsid w:val="00CD21B5"/>
    <w:rsid w:val="00CD5958"/>
    <w:rsid w:val="00CD7391"/>
    <w:rsid w:val="00CE773C"/>
    <w:rsid w:val="00CF1C2D"/>
    <w:rsid w:val="00CF5792"/>
    <w:rsid w:val="00D03E45"/>
    <w:rsid w:val="00D15EDC"/>
    <w:rsid w:val="00D231BB"/>
    <w:rsid w:val="00D2427C"/>
    <w:rsid w:val="00D30D70"/>
    <w:rsid w:val="00D31579"/>
    <w:rsid w:val="00D3642F"/>
    <w:rsid w:val="00D36E5A"/>
    <w:rsid w:val="00D4023F"/>
    <w:rsid w:val="00D4039B"/>
    <w:rsid w:val="00D40708"/>
    <w:rsid w:val="00D50346"/>
    <w:rsid w:val="00D50A98"/>
    <w:rsid w:val="00D526F0"/>
    <w:rsid w:val="00D56492"/>
    <w:rsid w:val="00D56C87"/>
    <w:rsid w:val="00D60712"/>
    <w:rsid w:val="00D60947"/>
    <w:rsid w:val="00D622A3"/>
    <w:rsid w:val="00D81B55"/>
    <w:rsid w:val="00D871BA"/>
    <w:rsid w:val="00D9167F"/>
    <w:rsid w:val="00D949D0"/>
    <w:rsid w:val="00DA0E6D"/>
    <w:rsid w:val="00DA7670"/>
    <w:rsid w:val="00DB580C"/>
    <w:rsid w:val="00DB58E3"/>
    <w:rsid w:val="00DB5E7F"/>
    <w:rsid w:val="00DC73B2"/>
    <w:rsid w:val="00DE0F2F"/>
    <w:rsid w:val="00DE134A"/>
    <w:rsid w:val="00DE365B"/>
    <w:rsid w:val="00DE49BF"/>
    <w:rsid w:val="00DE704F"/>
    <w:rsid w:val="00DF4CBF"/>
    <w:rsid w:val="00DF5D78"/>
    <w:rsid w:val="00E00542"/>
    <w:rsid w:val="00E014B3"/>
    <w:rsid w:val="00E03E47"/>
    <w:rsid w:val="00E138C7"/>
    <w:rsid w:val="00E17CAC"/>
    <w:rsid w:val="00E20BBA"/>
    <w:rsid w:val="00E22934"/>
    <w:rsid w:val="00E22D24"/>
    <w:rsid w:val="00E23119"/>
    <w:rsid w:val="00E27DAF"/>
    <w:rsid w:val="00E331EE"/>
    <w:rsid w:val="00E35320"/>
    <w:rsid w:val="00E35919"/>
    <w:rsid w:val="00E41658"/>
    <w:rsid w:val="00E50AC4"/>
    <w:rsid w:val="00E51965"/>
    <w:rsid w:val="00E54E13"/>
    <w:rsid w:val="00E564FD"/>
    <w:rsid w:val="00E61200"/>
    <w:rsid w:val="00E6158F"/>
    <w:rsid w:val="00E75337"/>
    <w:rsid w:val="00E757AB"/>
    <w:rsid w:val="00E82FDF"/>
    <w:rsid w:val="00E83A7B"/>
    <w:rsid w:val="00E83DAC"/>
    <w:rsid w:val="00E84AE6"/>
    <w:rsid w:val="00E9145D"/>
    <w:rsid w:val="00E974D2"/>
    <w:rsid w:val="00EB150E"/>
    <w:rsid w:val="00EB61AE"/>
    <w:rsid w:val="00EC1F29"/>
    <w:rsid w:val="00EC2434"/>
    <w:rsid w:val="00EC2F04"/>
    <w:rsid w:val="00EC4B90"/>
    <w:rsid w:val="00ED446E"/>
    <w:rsid w:val="00ED5F62"/>
    <w:rsid w:val="00EE54FE"/>
    <w:rsid w:val="00EE5D33"/>
    <w:rsid w:val="00EF335D"/>
    <w:rsid w:val="00EF5C3C"/>
    <w:rsid w:val="00F02597"/>
    <w:rsid w:val="00F029AE"/>
    <w:rsid w:val="00F03AE3"/>
    <w:rsid w:val="00F14280"/>
    <w:rsid w:val="00F21477"/>
    <w:rsid w:val="00F26468"/>
    <w:rsid w:val="00F33E0D"/>
    <w:rsid w:val="00F355E1"/>
    <w:rsid w:val="00F35A6D"/>
    <w:rsid w:val="00F36684"/>
    <w:rsid w:val="00F37A17"/>
    <w:rsid w:val="00F405E8"/>
    <w:rsid w:val="00F51A90"/>
    <w:rsid w:val="00F52AD8"/>
    <w:rsid w:val="00F55D5F"/>
    <w:rsid w:val="00F60300"/>
    <w:rsid w:val="00F678D9"/>
    <w:rsid w:val="00F71B24"/>
    <w:rsid w:val="00F76220"/>
    <w:rsid w:val="00F77426"/>
    <w:rsid w:val="00F83247"/>
    <w:rsid w:val="00F83968"/>
    <w:rsid w:val="00F8490F"/>
    <w:rsid w:val="00F85976"/>
    <w:rsid w:val="00F87D93"/>
    <w:rsid w:val="00F9734F"/>
    <w:rsid w:val="00FA2B49"/>
    <w:rsid w:val="00FA3E72"/>
    <w:rsid w:val="00FE15D9"/>
    <w:rsid w:val="00FF0C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63E49"/>
  <w15:docId w15:val="{646FE410-96DB-435B-A166-3539D4AF0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pl-PL"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basedOn w:val="Normalny"/>
    <w:next w:val="Normalny"/>
    <w:uiPriority w:val="9"/>
    <w:qFormat/>
    <w:pPr>
      <w:keepNext/>
      <w:keepLines/>
      <w:spacing w:before="240" w:after="120"/>
      <w:outlineLvl w:val="0"/>
    </w:pPr>
    <w:rPr>
      <w:rFonts w:ascii="Arial Narrow" w:eastAsia="Times New Roman" w:hAnsi="Arial Narrow"/>
      <w:b/>
      <w:sz w:val="28"/>
      <w:szCs w:val="28"/>
    </w:rPr>
  </w:style>
  <w:style w:type="paragraph" w:styleId="Nagwek2">
    <w:name w:val="heading 2"/>
    <w:basedOn w:val="Normalny"/>
    <w:next w:val="Normalny"/>
    <w:uiPriority w:val="9"/>
    <w:unhideWhenUsed/>
    <w:qFormat/>
    <w:rsid w:val="003D2355"/>
    <w:pPr>
      <w:keepNext/>
      <w:keepLines/>
      <w:shd w:val="clear" w:color="auto" w:fill="A6A6A6" w:themeFill="background1" w:themeFillShade="A6"/>
      <w:spacing w:before="120" w:after="0" w:line="264" w:lineRule="auto"/>
      <w:outlineLvl w:val="1"/>
    </w:pPr>
    <w:rPr>
      <w:rFonts w:eastAsia="Times New Roman" w:cs="Calibri"/>
      <w:color w:val="FFFFFF"/>
      <w:sz w:val="24"/>
      <w:szCs w:val="24"/>
    </w:rPr>
  </w:style>
  <w:style w:type="paragraph" w:styleId="Nagwek3">
    <w:name w:val="heading 3"/>
    <w:basedOn w:val="Normalny"/>
    <w:next w:val="Normalny"/>
    <w:uiPriority w:val="9"/>
    <w:semiHidden/>
    <w:unhideWhenUsed/>
    <w:qFormat/>
    <w:pPr>
      <w:keepNext/>
      <w:keepLines/>
      <w:shd w:val="clear" w:color="auto" w:fill="002060"/>
      <w:spacing w:before="120" w:after="120" w:line="288" w:lineRule="auto"/>
      <w:outlineLvl w:val="2"/>
    </w:pPr>
    <w:rPr>
      <w:rFonts w:ascii="Arial Narrow" w:eastAsia="Times New Roman" w:hAnsi="Arial Narrow"/>
      <w:b/>
      <w:bCs/>
    </w:rPr>
  </w:style>
  <w:style w:type="paragraph" w:styleId="Nagwek4">
    <w:name w:val="heading 4"/>
    <w:basedOn w:val="Normalny"/>
    <w:next w:val="Normalny"/>
    <w:uiPriority w:val="9"/>
    <w:semiHidden/>
    <w:unhideWhenUsed/>
    <w:qFormat/>
    <w:pPr>
      <w:keepNext/>
      <w:keepLines/>
      <w:spacing w:before="40" w:after="0"/>
      <w:outlineLvl w:val="3"/>
    </w:pPr>
    <w:rPr>
      <w:rFonts w:ascii="Calibri Light" w:eastAsia="Times New Roman" w:hAnsi="Calibri Light"/>
      <w:iCs/>
      <w:color w:val="2F5496"/>
      <w:sz w:val="24"/>
    </w:rPr>
  </w:style>
  <w:style w:type="paragraph" w:styleId="Nagwek5">
    <w:name w:val="heading 5"/>
    <w:basedOn w:val="Normalny"/>
    <w:next w:val="Normalny"/>
    <w:uiPriority w:val="9"/>
    <w:semiHidden/>
    <w:unhideWhenUsed/>
    <w:qFormat/>
    <w:pPr>
      <w:keepNext/>
      <w:keepLines/>
      <w:spacing w:before="40" w:after="0"/>
      <w:outlineLvl w:val="4"/>
    </w:pPr>
    <w:rPr>
      <w:rFonts w:ascii="Calibri Light" w:eastAsia="Times New Roman" w:hAnsi="Calibri Light"/>
      <w:color w:val="2F5496"/>
    </w:rPr>
  </w:style>
  <w:style w:type="paragraph" w:styleId="Nagwek6">
    <w:name w:val="heading 6"/>
    <w:basedOn w:val="Normalny"/>
    <w:next w:val="Normalny"/>
    <w:uiPriority w:val="9"/>
    <w:semiHidden/>
    <w:unhideWhenUsed/>
    <w:qFormat/>
    <w:pPr>
      <w:keepNext/>
      <w:keepLines/>
      <w:spacing w:before="40" w:after="0"/>
      <w:outlineLvl w:val="5"/>
    </w:pPr>
    <w:rPr>
      <w:rFonts w:ascii="Calibri Light" w:eastAsia="Times New Roman" w:hAnsi="Calibri Light"/>
      <w:color w:val="1F3763"/>
    </w:rPr>
  </w:style>
  <w:style w:type="paragraph" w:styleId="Nagwek7">
    <w:name w:val="heading 7"/>
    <w:basedOn w:val="Normalny"/>
    <w:next w:val="Normalny"/>
    <w:pPr>
      <w:keepNext/>
      <w:keepLines/>
      <w:spacing w:before="40" w:after="0"/>
      <w:outlineLvl w:val="6"/>
    </w:pPr>
    <w:rPr>
      <w:rFonts w:ascii="Calibri Light" w:eastAsia="Times New Roman" w:hAnsi="Calibri Light"/>
      <w:i/>
      <w:iCs/>
      <w:color w:val="1F3763"/>
    </w:rPr>
  </w:style>
  <w:style w:type="paragraph" w:styleId="Nagwek8">
    <w:name w:val="heading 8"/>
    <w:basedOn w:val="Normalny"/>
    <w:next w:val="Normalny"/>
    <w:pPr>
      <w:keepNext/>
      <w:keepLines/>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pPr>
      <w:keepNext/>
      <w:keepLines/>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pacing w:after="0"/>
    </w:pPr>
  </w:style>
  <w:style w:type="character" w:customStyle="1" w:styleId="NagwekZnak">
    <w:name w:val="Nagłówek Znak"/>
    <w:basedOn w:val="Domylnaczcionkaakapitu"/>
  </w:style>
  <w:style w:type="paragraph" w:styleId="Stopka">
    <w:name w:val="footer"/>
    <w:basedOn w:val="Normalny"/>
    <w:uiPriority w:val="99"/>
    <w:pPr>
      <w:tabs>
        <w:tab w:val="center" w:pos="4536"/>
        <w:tab w:val="right" w:pos="9072"/>
      </w:tabs>
      <w:spacing w:after="0"/>
    </w:pPr>
  </w:style>
  <w:style w:type="character" w:customStyle="1" w:styleId="StopkaZnak">
    <w:name w:val="Stopka Znak"/>
    <w:basedOn w:val="Domylnaczcionkaakapitu"/>
    <w:uiPriority w:val="99"/>
  </w:style>
  <w:style w:type="paragraph" w:styleId="Akapitzlist">
    <w:name w:val="List Paragraph"/>
    <w:basedOn w:val="Normalny"/>
    <w:pPr>
      <w:ind w:left="720"/>
    </w:pPr>
  </w:style>
  <w:style w:type="character" w:customStyle="1" w:styleId="Nagwek1Znak">
    <w:name w:val="Nagłówek 1 Znak"/>
    <w:basedOn w:val="Domylnaczcionkaakapitu"/>
    <w:rPr>
      <w:rFonts w:ascii="Arial Narrow" w:eastAsia="Times New Roman" w:hAnsi="Arial Narrow" w:cs="Times New Roman"/>
      <w:b/>
      <w:sz w:val="28"/>
      <w:szCs w:val="28"/>
    </w:rPr>
  </w:style>
  <w:style w:type="character" w:customStyle="1" w:styleId="Nagwek2Znak">
    <w:name w:val="Nagłówek 2 Znak"/>
    <w:basedOn w:val="Domylnaczcionkaakapitu"/>
    <w:rPr>
      <w:rFonts w:ascii="Arial Narrow" w:eastAsia="Times New Roman" w:hAnsi="Arial Narrow" w:cs="Times New Roman"/>
      <w:sz w:val="24"/>
      <w:szCs w:val="24"/>
    </w:rPr>
  </w:style>
  <w:style w:type="character" w:customStyle="1" w:styleId="Nagwek3Znak">
    <w:name w:val="Nagłówek 3 Znak"/>
    <w:basedOn w:val="Domylnaczcionkaakapitu"/>
    <w:rPr>
      <w:rFonts w:ascii="Arial Narrow" w:eastAsia="Times New Roman" w:hAnsi="Arial Narrow" w:cs="Times New Roman"/>
      <w:b/>
      <w:bCs/>
      <w:shd w:val="clear" w:color="auto" w:fill="002060"/>
    </w:rPr>
  </w:style>
  <w:style w:type="character" w:customStyle="1" w:styleId="Nagwek4Znak">
    <w:name w:val="Nagłówek 4 Znak"/>
    <w:basedOn w:val="Domylnaczcionkaakapitu"/>
    <w:rPr>
      <w:rFonts w:ascii="Calibri Light" w:eastAsia="Times New Roman" w:hAnsi="Calibri Light" w:cs="Times New Roman"/>
      <w:iCs/>
      <w:color w:val="2F5496"/>
      <w:sz w:val="24"/>
    </w:rPr>
  </w:style>
  <w:style w:type="character" w:customStyle="1" w:styleId="Nagwek5Znak">
    <w:name w:val="Nagłówek 5 Znak"/>
    <w:basedOn w:val="Domylnaczcionkaakapitu"/>
    <w:rPr>
      <w:rFonts w:ascii="Calibri Light" w:eastAsia="Times New Roman" w:hAnsi="Calibri Light" w:cs="Times New Roman"/>
      <w:color w:val="2F5496"/>
    </w:rPr>
  </w:style>
  <w:style w:type="character" w:customStyle="1" w:styleId="Nagwek6Znak">
    <w:name w:val="Nagłówek 6 Znak"/>
    <w:basedOn w:val="Domylnaczcionkaakapitu"/>
    <w:rPr>
      <w:rFonts w:ascii="Calibri Light" w:eastAsia="Times New Roman" w:hAnsi="Calibri Light" w:cs="Times New Roman"/>
      <w:color w:val="1F3763"/>
    </w:rPr>
  </w:style>
  <w:style w:type="character" w:customStyle="1" w:styleId="Nagwek7Znak">
    <w:name w:val="Nagłówek 7 Znak"/>
    <w:basedOn w:val="Domylnaczcionkaakapitu"/>
    <w:rPr>
      <w:rFonts w:ascii="Calibri Light" w:eastAsia="Times New Roman" w:hAnsi="Calibri Light" w:cs="Times New Roman"/>
      <w:i/>
      <w:iCs/>
      <w:color w:val="1F3763"/>
    </w:rPr>
  </w:style>
  <w:style w:type="character" w:customStyle="1" w:styleId="Nagwek8Znak">
    <w:name w:val="Nagłówek 8 Znak"/>
    <w:basedOn w:val="Domylnaczcionkaakapitu"/>
    <w:rPr>
      <w:rFonts w:ascii="Calibri Light" w:eastAsia="Times New Roman" w:hAnsi="Calibri Light" w:cs="Times New Roman"/>
      <w:color w:val="272727"/>
      <w:sz w:val="21"/>
      <w:szCs w:val="21"/>
    </w:rPr>
  </w:style>
  <w:style w:type="character" w:customStyle="1" w:styleId="Nagwek9Znak">
    <w:name w:val="Nagłówek 9 Znak"/>
    <w:basedOn w:val="Domylnaczcionkaakapitu"/>
    <w:rPr>
      <w:rFonts w:ascii="Calibri Light" w:eastAsia="Times New Roman" w:hAnsi="Calibri Light" w:cs="Times New Roman"/>
      <w:i/>
      <w:iCs/>
      <w:color w:val="272727"/>
      <w:sz w:val="21"/>
      <w:szCs w:val="21"/>
    </w:rPr>
  </w:style>
  <w:style w:type="paragraph" w:styleId="Bezodstpw">
    <w:name w:val="No Spacing"/>
    <w:pPr>
      <w:suppressAutoHyphens/>
      <w:spacing w:after="0"/>
    </w:pPr>
    <w:rPr>
      <w:rFonts w:eastAsia="Times New Roman"/>
      <w:lang w:eastAsia="pl-PL"/>
    </w:rPr>
  </w:style>
  <w:style w:type="character" w:customStyle="1" w:styleId="BezodstpwZnak">
    <w:name w:val="Bez odstępów Znak"/>
    <w:basedOn w:val="Domylnaczcionkaakapitu"/>
    <w:rPr>
      <w:rFonts w:ascii="Calibri" w:eastAsia="Times New Roman" w:hAnsi="Calibri" w:cs="Times New Roman"/>
      <w:lang w:eastAsia="pl-PL"/>
    </w:rPr>
  </w:style>
  <w:style w:type="character" w:customStyle="1" w:styleId="AkapitzlistZnak">
    <w:name w:val="Akapit z listą Znak"/>
  </w:style>
  <w:style w:type="paragraph" w:styleId="Nagwekspisutreci">
    <w:name w:val="TOC Heading"/>
    <w:basedOn w:val="Nagwek1"/>
    <w:next w:val="Normalny"/>
    <w:uiPriority w:val="39"/>
    <w:qFormat/>
    <w:rPr>
      <w:lang w:eastAsia="pl-PL"/>
    </w:rPr>
  </w:style>
  <w:style w:type="paragraph" w:styleId="Spistreci1">
    <w:name w:val="toc 1"/>
    <w:basedOn w:val="Normalny"/>
    <w:next w:val="Normalny"/>
    <w:autoRedefine/>
    <w:uiPriority w:val="39"/>
    <w:rsid w:val="00AF3F28"/>
    <w:pPr>
      <w:tabs>
        <w:tab w:val="left" w:pos="9498"/>
      </w:tabs>
      <w:spacing w:before="120" w:after="100"/>
      <w:ind w:right="-312"/>
    </w:pPr>
    <w:rPr>
      <w:rFonts w:cs="Calibri"/>
      <w:b/>
      <w:sz w:val="24"/>
      <w:szCs w:val="24"/>
    </w:rPr>
  </w:style>
  <w:style w:type="character" w:styleId="Hipercze">
    <w:name w:val="Hyperlink"/>
    <w:basedOn w:val="Domylnaczcionkaakapitu"/>
    <w:uiPriority w:val="99"/>
    <w:rPr>
      <w:color w:val="0563C1"/>
      <w:u w:val="single"/>
    </w:rPr>
  </w:style>
  <w:style w:type="paragraph" w:styleId="Spistreci2">
    <w:name w:val="toc 2"/>
    <w:basedOn w:val="Normalny"/>
    <w:next w:val="Normalny"/>
    <w:autoRedefine/>
    <w:uiPriority w:val="39"/>
    <w:rsid w:val="00800E6B"/>
    <w:pPr>
      <w:tabs>
        <w:tab w:val="left" w:pos="1100"/>
        <w:tab w:val="right" w:leader="dot" w:pos="9498"/>
        <w:tab w:val="left" w:pos="9639"/>
      </w:tabs>
      <w:spacing w:after="100"/>
      <w:ind w:left="142" w:right="366"/>
    </w:pPr>
  </w:style>
  <w:style w:type="paragraph" w:styleId="Spistreci3">
    <w:name w:val="toc 3"/>
    <w:basedOn w:val="Normalny"/>
    <w:next w:val="Normalny"/>
    <w:autoRedefine/>
    <w:uiPriority w:val="39"/>
    <w:pPr>
      <w:tabs>
        <w:tab w:val="left" w:pos="1320"/>
        <w:tab w:val="right" w:leader="dot" w:pos="9062"/>
      </w:tabs>
      <w:spacing w:after="100"/>
      <w:ind w:left="440" w:right="792" w:hanging="14"/>
    </w:pPr>
  </w:style>
  <w:style w:type="character" w:styleId="Odwoaniedokomentarza">
    <w:name w:val="annotation reference"/>
    <w:basedOn w:val="Domylnaczcionkaakapitu"/>
    <w:rPr>
      <w:sz w:val="16"/>
      <w:szCs w:val="16"/>
    </w:rPr>
  </w:style>
  <w:style w:type="paragraph" w:styleId="Tekstkomentarza">
    <w:name w:val="annotation text"/>
    <w:basedOn w:val="Normalny"/>
    <w:rPr>
      <w:sz w:val="20"/>
      <w:szCs w:val="20"/>
    </w:rPr>
  </w:style>
  <w:style w:type="character" w:customStyle="1" w:styleId="TekstkomentarzaZnak">
    <w:name w:val="Tekst komentarza Znak"/>
    <w:basedOn w:val="Domylnaczcionkaakapitu"/>
    <w:rPr>
      <w:rFonts w:ascii="Calibri" w:eastAsia="Calibri" w:hAnsi="Calibri" w:cs="Times New Roman"/>
      <w:sz w:val="20"/>
      <w:szCs w:val="20"/>
    </w:rPr>
  </w:style>
  <w:style w:type="paragraph" w:styleId="Tematkomentarza">
    <w:name w:val="annotation subject"/>
    <w:basedOn w:val="Tekstkomentarza"/>
    <w:next w:val="Tekstkomentarza"/>
    <w:rPr>
      <w:b/>
      <w:bCs/>
    </w:rPr>
  </w:style>
  <w:style w:type="character" w:customStyle="1" w:styleId="TematkomentarzaZnak">
    <w:name w:val="Temat komentarza Znak"/>
    <w:basedOn w:val="TekstkomentarzaZnak"/>
    <w:rPr>
      <w:rFonts w:ascii="Calibri" w:eastAsia="Calibri" w:hAnsi="Calibri" w:cs="Times New Roman"/>
      <w:b/>
      <w:bCs/>
      <w:sz w:val="20"/>
      <w:szCs w:val="20"/>
    </w:rPr>
  </w:style>
  <w:style w:type="paragraph" w:styleId="Tekstdymka">
    <w:name w:val="Balloon Text"/>
    <w:basedOn w:val="Normalny"/>
    <w:pPr>
      <w:spacing w:after="0"/>
    </w:pPr>
    <w:rPr>
      <w:rFonts w:ascii="Segoe UI" w:hAnsi="Segoe UI" w:cs="Segoe UI"/>
      <w:sz w:val="18"/>
      <w:szCs w:val="18"/>
    </w:rPr>
  </w:style>
  <w:style w:type="character" w:customStyle="1" w:styleId="TekstdymkaZnak">
    <w:name w:val="Tekst dymka Znak"/>
    <w:basedOn w:val="Domylnaczcionkaakapitu"/>
    <w:rPr>
      <w:rFonts w:ascii="Segoe UI" w:eastAsia="Calibri" w:hAnsi="Segoe UI" w:cs="Segoe UI"/>
      <w:sz w:val="18"/>
      <w:szCs w:val="18"/>
    </w:rPr>
  </w:style>
  <w:style w:type="paragraph" w:styleId="Tekstpodstawowy">
    <w:name w:val="Body Text"/>
    <w:basedOn w:val="Normalny"/>
    <w:pPr>
      <w:spacing w:after="120"/>
      <w:jc w:val="both"/>
    </w:pPr>
    <w:rPr>
      <w:rFonts w:ascii="Arial" w:hAnsi="Arial"/>
      <w:sz w:val="24"/>
      <w:szCs w:val="24"/>
      <w:lang w:eastAsia="pl-PL"/>
    </w:rPr>
  </w:style>
  <w:style w:type="character" w:customStyle="1" w:styleId="TekstpodstawowyZnak">
    <w:name w:val="Tekst podstawowy Znak"/>
    <w:basedOn w:val="Domylnaczcionkaakapitu"/>
    <w:rPr>
      <w:rFonts w:ascii="Arial" w:eastAsia="Calibri" w:hAnsi="Arial" w:cs="Times New Roman"/>
      <w:sz w:val="24"/>
      <w:szCs w:val="24"/>
      <w:lang w:eastAsia="pl-PL"/>
    </w:rPr>
  </w:style>
  <w:style w:type="character" w:customStyle="1" w:styleId="apple-converted-space">
    <w:name w:val="apple-converted-space"/>
    <w:basedOn w:val="Domylnaczcionkaakapitu"/>
  </w:style>
  <w:style w:type="paragraph" w:styleId="Legenda">
    <w:name w:val="caption"/>
    <w:basedOn w:val="Normalny"/>
    <w:qFormat/>
    <w:rsid w:val="002D6249"/>
    <w:pPr>
      <w:spacing w:before="120" w:after="120" w:line="264" w:lineRule="auto"/>
    </w:pPr>
    <w:rPr>
      <w:rFonts w:cs="Calibri"/>
      <w:lang w:eastAsia="pl-PL"/>
    </w:rPr>
  </w:style>
  <w:style w:type="character" w:customStyle="1" w:styleId="LegendaZnak">
    <w:name w:val="Legenda Znak"/>
    <w:basedOn w:val="Domylnaczcionkaakapitu"/>
    <w:rPr>
      <w:rFonts w:ascii="Arial Narrow" w:eastAsia="Calibri" w:hAnsi="Arial Narrow" w:cs="Times New Roman"/>
      <w:b/>
      <w:bCs/>
      <w:sz w:val="20"/>
      <w:szCs w:val="20"/>
      <w:lang w:eastAsia="pl-PL"/>
    </w:rPr>
  </w:style>
  <w:style w:type="paragraph" w:styleId="Listapunktowana2">
    <w:name w:val="List Bullet 2"/>
    <w:basedOn w:val="Normalny"/>
    <w:pPr>
      <w:numPr>
        <w:numId w:val="1"/>
      </w:numPr>
      <w:spacing w:after="0"/>
      <w:jc w:val="both"/>
    </w:pPr>
    <w:rPr>
      <w:rFonts w:ascii="Arial" w:hAnsi="Arial"/>
      <w:sz w:val="24"/>
      <w:szCs w:val="24"/>
      <w:lang w:eastAsia="pl-PL"/>
    </w:rPr>
  </w:style>
  <w:style w:type="paragraph" w:styleId="NormalnyWeb">
    <w:name w:val="Normal (Web)"/>
    <w:basedOn w:val="Normalny"/>
    <w:uiPriority w:val="99"/>
    <w:pPr>
      <w:spacing w:before="100" w:after="100"/>
    </w:pPr>
    <w:rPr>
      <w:rFonts w:ascii="Times New Roman" w:eastAsia="Times New Roman" w:hAnsi="Times New Roman"/>
      <w:sz w:val="24"/>
      <w:szCs w:val="24"/>
      <w:lang w:eastAsia="pl-PL"/>
    </w:rPr>
  </w:style>
  <w:style w:type="character" w:customStyle="1" w:styleId="BodyTextChar">
    <w:name w:val="Body Text Char"/>
    <w:basedOn w:val="Domylnaczcionkaakapitu"/>
    <w:rPr>
      <w:lang w:eastAsia="en-US"/>
    </w:rPr>
  </w:style>
  <w:style w:type="character" w:styleId="UyteHipercze">
    <w:name w:val="FollowedHyperlink"/>
    <w:basedOn w:val="Domylnaczcionkaakapitu"/>
    <w:uiPriority w:val="99"/>
    <w:rPr>
      <w:rFonts w:cs="Times New Roman"/>
      <w:color w:val="800080"/>
      <w:u w:val="single"/>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uiPriority w:val="99"/>
    <w:rPr>
      <w:rFonts w:cs="Times New Roman"/>
      <w:position w:val="0"/>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uiPriority w:val="99"/>
    <w:qFormat/>
    <w:pPr>
      <w:spacing w:after="0"/>
      <w:jc w:val="both"/>
    </w:pPr>
    <w:rPr>
      <w:rFonts w:ascii="Arial" w:hAnsi="Arial"/>
      <w:sz w:val="20"/>
      <w:szCs w:val="20"/>
      <w:lang w:eastAsia="pl-PL"/>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uiPriority w:val="99"/>
    <w:rPr>
      <w:rFonts w:ascii="Arial" w:eastAsia="Calibri" w:hAnsi="Arial" w:cs="Times New Roman"/>
      <w:sz w:val="20"/>
      <w:szCs w:val="20"/>
      <w:lang w:eastAsia="pl-PL"/>
    </w:rPr>
  </w:style>
  <w:style w:type="paragraph" w:styleId="Tekstprzypisukocowego">
    <w:name w:val="endnote text"/>
    <w:basedOn w:val="Normalny"/>
    <w:pPr>
      <w:spacing w:after="0"/>
    </w:pPr>
    <w:rPr>
      <w:sz w:val="20"/>
      <w:szCs w:val="20"/>
    </w:rPr>
  </w:style>
  <w:style w:type="character" w:customStyle="1" w:styleId="TekstprzypisukocowegoZnak">
    <w:name w:val="Tekst przypisu końcowego Znak"/>
    <w:basedOn w:val="Domylnaczcionkaakapitu"/>
    <w:rPr>
      <w:rFonts w:ascii="Calibri" w:eastAsia="Calibri" w:hAnsi="Calibri" w:cs="Times New Roman"/>
      <w:sz w:val="20"/>
      <w:szCs w:val="20"/>
    </w:rPr>
  </w:style>
  <w:style w:type="character" w:styleId="Odwoanieprzypisukocowego">
    <w:name w:val="endnote reference"/>
    <w:basedOn w:val="Domylnaczcionkaakapitu"/>
    <w:rPr>
      <w:position w:val="0"/>
      <w:vertAlign w:val="superscript"/>
    </w:rPr>
  </w:style>
  <w:style w:type="paragraph" w:styleId="Spisilustracji">
    <w:name w:val="table of figures"/>
    <w:basedOn w:val="Normalny"/>
    <w:next w:val="Normalny"/>
    <w:uiPriority w:val="99"/>
    <w:pPr>
      <w:spacing w:after="0"/>
    </w:pPr>
  </w:style>
  <w:style w:type="paragraph" w:customStyle="1" w:styleId="Default">
    <w:name w:val="Default"/>
    <w:pPr>
      <w:suppressAutoHyphens/>
      <w:autoSpaceDE w:val="0"/>
      <w:spacing w:after="0"/>
    </w:pPr>
    <w:rPr>
      <w:rFonts w:cs="Calibri"/>
      <w:color w:val="000000"/>
      <w:sz w:val="24"/>
      <w:szCs w:val="24"/>
      <w:lang w:eastAsia="pl-PL"/>
    </w:rPr>
  </w:style>
  <w:style w:type="character" w:customStyle="1" w:styleId="r3">
    <w:name w:val="_r3"/>
    <w:basedOn w:val="Domylnaczcionkaakapitu"/>
  </w:style>
  <w:style w:type="character" w:customStyle="1" w:styleId="ircho">
    <w:name w:val="irc_ho"/>
    <w:basedOn w:val="Domylnaczcionkaakapitu"/>
  </w:style>
  <w:style w:type="character" w:styleId="Wyrnieniedelikatne">
    <w:name w:val="Subtle Emphasis"/>
    <w:basedOn w:val="Domylnaczcionkaakapitu"/>
    <w:rPr>
      <w:i/>
      <w:iCs/>
      <w:color w:val="404040"/>
    </w:rPr>
  </w:style>
  <w:style w:type="character" w:styleId="Pogrubienie">
    <w:name w:val="Strong"/>
    <w:uiPriority w:val="22"/>
    <w:qFormat/>
    <w:rPr>
      <w:b/>
      <w:bCs/>
    </w:rPr>
  </w:style>
  <w:style w:type="paragraph" w:customStyle="1" w:styleId="Zawartotabeli">
    <w:name w:val="Zawartość tabeli"/>
    <w:basedOn w:val="Normalny"/>
    <w:pPr>
      <w:suppressLineNumbers/>
      <w:spacing w:after="0"/>
    </w:pPr>
    <w:rPr>
      <w:rFonts w:ascii="Times New Roman" w:eastAsia="Times New Roman" w:hAnsi="Times New Roman"/>
      <w:sz w:val="24"/>
      <w:szCs w:val="24"/>
      <w:lang w:eastAsia="ar-SA"/>
    </w:rPr>
  </w:style>
  <w:style w:type="paragraph" w:customStyle="1" w:styleId="Tekstwstpniesformatowany">
    <w:name w:val="Tekst wstępnie sformatowany"/>
    <w:basedOn w:val="Normalny"/>
    <w:pPr>
      <w:spacing w:after="0"/>
    </w:pPr>
    <w:rPr>
      <w:rFonts w:ascii="Courier New" w:eastAsia="Courier New" w:hAnsi="Courier New" w:cs="Courier New"/>
      <w:sz w:val="20"/>
      <w:szCs w:val="20"/>
      <w:lang w:eastAsia="ar-SA"/>
    </w:rPr>
  </w:style>
  <w:style w:type="paragraph" w:customStyle="1" w:styleId="TableContents">
    <w:name w:val="Table Contents"/>
    <w:basedOn w:val="Normalny"/>
    <w:pPr>
      <w:widowControl w:val="0"/>
      <w:suppressLineNumbers/>
      <w:spacing w:after="0"/>
    </w:pPr>
    <w:rPr>
      <w:rFonts w:ascii="Times New Roman" w:eastAsia="Andale Sans UI" w:hAnsi="Times New Roman" w:cs="Tahoma"/>
      <w:kern w:val="3"/>
      <w:sz w:val="24"/>
      <w:szCs w:val="24"/>
      <w:lang w:val="en-US" w:bidi="en-US"/>
    </w:rPr>
  </w:style>
  <w:style w:type="character" w:customStyle="1" w:styleId="mw-headline">
    <w:name w:val="mw-headline"/>
    <w:basedOn w:val="Domylnaczcionkaakapitu"/>
  </w:style>
  <w:style w:type="character" w:customStyle="1" w:styleId="mw-editsection">
    <w:name w:val="mw-editsection"/>
    <w:basedOn w:val="Domylnaczcionkaakapitu"/>
  </w:style>
  <w:style w:type="character" w:customStyle="1" w:styleId="mw-editsection-bracket">
    <w:name w:val="mw-editsection-bracket"/>
    <w:basedOn w:val="Domylnaczcionkaakapitu"/>
  </w:style>
  <w:style w:type="character" w:customStyle="1" w:styleId="mw-editsection-divider">
    <w:name w:val="mw-editsection-divider"/>
    <w:basedOn w:val="Domylnaczcionkaakapitu"/>
  </w:style>
  <w:style w:type="paragraph" w:styleId="Listapunktowana">
    <w:name w:val="List Bullet"/>
    <w:basedOn w:val="Normalny"/>
    <w:pPr>
      <w:numPr>
        <w:numId w:val="2"/>
      </w:numPr>
    </w:pPr>
  </w:style>
  <w:style w:type="paragraph" w:customStyle="1" w:styleId="Teksttabeli">
    <w:name w:val="Tekst tabeli"/>
    <w:basedOn w:val="Normalny"/>
    <w:pPr>
      <w:spacing w:after="0"/>
      <w:jc w:val="center"/>
    </w:pPr>
    <w:rPr>
      <w:rFonts w:eastAsia="Times New Roman"/>
      <w:sz w:val="18"/>
    </w:rPr>
  </w:style>
  <w:style w:type="character" w:customStyle="1" w:styleId="TeksttabeliZnak">
    <w:name w:val="Tekst tabeli Znak"/>
    <w:basedOn w:val="Domylnaczcionkaakapitu"/>
    <w:rPr>
      <w:rFonts w:eastAsia="Times New Roman"/>
      <w:sz w:val="18"/>
    </w:rPr>
  </w:style>
  <w:style w:type="paragraph" w:customStyle="1" w:styleId="Odsyaczobiektu">
    <w:name w:val="Odsyłacz obiektu"/>
    <w:basedOn w:val="Normalny"/>
    <w:next w:val="Normalny"/>
    <w:pPr>
      <w:spacing w:after="240"/>
    </w:pPr>
    <w:rPr>
      <w:b/>
      <w:sz w:val="20"/>
    </w:rPr>
  </w:style>
  <w:style w:type="paragraph" w:customStyle="1" w:styleId="DecimalAligned">
    <w:name w:val="Decimal Aligned"/>
    <w:basedOn w:val="Normalny"/>
    <w:pPr>
      <w:tabs>
        <w:tab w:val="decimal" w:pos="360"/>
      </w:tabs>
      <w:spacing w:after="200" w:line="276" w:lineRule="auto"/>
    </w:pPr>
    <w:rPr>
      <w:rFonts w:eastAsia="Times New Roman"/>
      <w:lang w:eastAsia="pl-PL"/>
    </w:rPr>
  </w:style>
  <w:style w:type="character" w:styleId="Uwydatnienie">
    <w:name w:val="Emphasis"/>
    <w:basedOn w:val="Domylnaczcionkaakapitu"/>
    <w:uiPriority w:val="20"/>
    <w:qFormat/>
    <w:rPr>
      <w:i/>
      <w:iCs/>
    </w:rPr>
  </w:style>
  <w:style w:type="paragraph" w:styleId="Poprawka">
    <w:name w:val="Revision"/>
    <w:pPr>
      <w:suppressAutoHyphens/>
      <w:spacing w:after="0"/>
    </w:pPr>
  </w:style>
  <w:style w:type="character" w:styleId="Tekstzastpczy">
    <w:name w:val="Placeholder Text"/>
    <w:basedOn w:val="Domylnaczcionkaakapitu"/>
    <w:rPr>
      <w:color w:val="808080"/>
    </w:rPr>
  </w:style>
  <w:style w:type="paragraph" w:styleId="HTML-wstpniesformatowany">
    <w:name w:val="HTML Preformatted"/>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rPr>
      <w:rFonts w:ascii="Courier New" w:eastAsia="Times New Roman" w:hAnsi="Courier New" w:cs="Courier New"/>
      <w:sz w:val="20"/>
      <w:szCs w:val="20"/>
      <w:lang w:eastAsia="pl-PL"/>
    </w:rPr>
  </w:style>
  <w:style w:type="paragraph" w:styleId="Spistreci4">
    <w:name w:val="toc 4"/>
    <w:basedOn w:val="Normalny"/>
    <w:next w:val="Normalny"/>
    <w:autoRedefine/>
    <w:pPr>
      <w:spacing w:after="100"/>
      <w:ind w:left="660"/>
    </w:pPr>
  </w:style>
  <w:style w:type="paragraph" w:customStyle="1" w:styleId="western">
    <w:name w:val="western"/>
    <w:basedOn w:val="Normalny"/>
    <w:pPr>
      <w:spacing w:before="100" w:after="100"/>
    </w:pPr>
    <w:rPr>
      <w:rFonts w:ascii="Times New Roman" w:eastAsia="Times New Roman" w:hAnsi="Times New Roman"/>
      <w:sz w:val="24"/>
      <w:szCs w:val="24"/>
      <w:lang w:eastAsia="pl-PL"/>
    </w:rPr>
  </w:style>
  <w:style w:type="paragraph" w:customStyle="1" w:styleId="standard">
    <w:name w:val="standard"/>
    <w:basedOn w:val="Normalny"/>
    <w:pPr>
      <w:spacing w:before="100" w:after="100"/>
    </w:pPr>
    <w:rPr>
      <w:rFonts w:ascii="Times New Roman" w:eastAsia="Times New Roman" w:hAnsi="Times New Roman"/>
      <w:sz w:val="24"/>
      <w:szCs w:val="24"/>
      <w:lang w:eastAsia="pl-PL"/>
    </w:rPr>
  </w:style>
  <w:style w:type="character" w:customStyle="1" w:styleId="Tytu1">
    <w:name w:val="Tytuł1"/>
    <w:basedOn w:val="Domylnaczcionkaakapitu"/>
  </w:style>
  <w:style w:type="paragraph" w:customStyle="1" w:styleId="ABCStylnormalny">
    <w:name w:val="ABC Styl normalny"/>
    <w:basedOn w:val="Normalny"/>
    <w:pPr>
      <w:spacing w:after="200" w:line="276" w:lineRule="auto"/>
      <w:ind w:firstLine="708"/>
      <w:jc w:val="both"/>
    </w:pPr>
    <w:rPr>
      <w:rFonts w:ascii="Verdana" w:hAnsi="Verdana"/>
      <w:sz w:val="20"/>
      <w:szCs w:val="20"/>
    </w:rPr>
  </w:style>
  <w:style w:type="character" w:customStyle="1" w:styleId="mi">
    <w:name w:val="mi"/>
    <w:basedOn w:val="Domylnaczcionkaakapitu"/>
  </w:style>
  <w:style w:type="character" w:customStyle="1" w:styleId="mo">
    <w:name w:val="mo"/>
    <w:basedOn w:val="Domylnaczcionkaakapitu"/>
  </w:style>
  <w:style w:type="character" w:customStyle="1" w:styleId="msqrt">
    <w:name w:val="msqrt"/>
    <w:basedOn w:val="Domylnaczcionkaakapitu"/>
  </w:style>
  <w:style w:type="character" w:customStyle="1" w:styleId="mn">
    <w:name w:val="mn"/>
    <w:basedOn w:val="Domylnaczcionkaakapitu"/>
  </w:style>
  <w:style w:type="character" w:customStyle="1" w:styleId="mjxassistivemathml">
    <w:name w:val="mjx_assistive_mathml"/>
    <w:basedOn w:val="Domylnaczcionkaakapitu"/>
  </w:style>
  <w:style w:type="paragraph" w:styleId="Tekstpodstawowywcity">
    <w:name w:val="Body Text Indent"/>
    <w:basedOn w:val="Normalny"/>
    <w:pPr>
      <w:spacing w:after="120"/>
      <w:ind w:left="283"/>
    </w:pPr>
  </w:style>
  <w:style w:type="character" w:customStyle="1" w:styleId="TekstpodstawowywcityZnak">
    <w:name w:val="Tekst podstawowy wcięty Znak"/>
    <w:basedOn w:val="Domylnaczcionkaakapitu"/>
    <w:rPr>
      <w:rFonts w:ascii="Calibri" w:eastAsia="Calibri" w:hAnsi="Calibri" w:cs="Times New Roman"/>
    </w:rPr>
  </w:style>
  <w:style w:type="character" w:customStyle="1" w:styleId="FontStyle28">
    <w:name w:val="Font Style28"/>
    <w:rPr>
      <w:rFonts w:ascii="Times New Roman" w:hAnsi="Times New Roman" w:cs="Times New Roman"/>
      <w:sz w:val="22"/>
      <w:szCs w:val="22"/>
    </w:rPr>
  </w:style>
  <w:style w:type="paragraph" w:customStyle="1" w:styleId="Style2">
    <w:name w:val="Style2"/>
    <w:basedOn w:val="Normalny"/>
    <w:pPr>
      <w:widowControl w:val="0"/>
      <w:autoSpaceDE w:val="0"/>
      <w:spacing w:after="0"/>
    </w:pPr>
    <w:rPr>
      <w:rFonts w:ascii="Times New Roman" w:eastAsia="Times New Roman" w:hAnsi="Times New Roman"/>
      <w:sz w:val="24"/>
      <w:szCs w:val="24"/>
      <w:lang w:eastAsia="zh-CN"/>
    </w:rPr>
  </w:style>
  <w:style w:type="paragraph" w:customStyle="1" w:styleId="nagwek10">
    <w:name w:val="nagłówek 1"/>
    <w:basedOn w:val="Normalny"/>
    <w:next w:val="Normalny"/>
    <w:pPr>
      <w:keepNext/>
      <w:keepLines/>
      <w:spacing w:before="600" w:after="60"/>
      <w:jc w:val="both"/>
      <w:outlineLvl w:val="0"/>
    </w:pPr>
    <w:rPr>
      <w:rFonts w:ascii="Calibri Light" w:eastAsia="Times New Roman" w:hAnsi="Calibri Light"/>
      <w:color w:val="4472C4"/>
      <w:sz w:val="30"/>
      <w:szCs w:val="20"/>
      <w:lang w:eastAsia="pl-PL"/>
    </w:rPr>
  </w:style>
  <w:style w:type="character" w:customStyle="1" w:styleId="Nagwek1znak0">
    <w:name w:val="Nagłówek 1 (znak)"/>
    <w:basedOn w:val="Domylnaczcionkaakapitu"/>
    <w:rPr>
      <w:rFonts w:ascii="Calibri Light" w:eastAsia="Times New Roman" w:hAnsi="Calibri Light" w:cs="Times New Roman"/>
      <w:color w:val="4472C4"/>
      <w:sz w:val="30"/>
      <w:szCs w:val="20"/>
      <w:lang w:eastAsia="pl-PL"/>
    </w:rPr>
  </w:style>
  <w:style w:type="paragraph" w:styleId="Tytu">
    <w:name w:val="Title"/>
    <w:basedOn w:val="Normalny"/>
    <w:next w:val="Normalny"/>
    <w:uiPriority w:val="10"/>
    <w:qFormat/>
    <w:pPr>
      <w:spacing w:before="480" w:after="40"/>
      <w:jc w:val="center"/>
    </w:pPr>
    <w:rPr>
      <w:rFonts w:ascii="Calibri Light" w:eastAsia="Times New Roman" w:hAnsi="Calibri Light"/>
      <w:color w:val="2F5496"/>
      <w:kern w:val="3"/>
      <w:sz w:val="60"/>
      <w:szCs w:val="20"/>
      <w:lang w:eastAsia="pl-PL"/>
    </w:rPr>
  </w:style>
  <w:style w:type="character" w:customStyle="1" w:styleId="TytuZnak">
    <w:name w:val="Tytuł Znak"/>
    <w:basedOn w:val="Domylnaczcionkaakapitu"/>
    <w:rPr>
      <w:rFonts w:ascii="Calibri Light" w:eastAsia="Times New Roman" w:hAnsi="Calibri Light" w:cs="Times New Roman"/>
      <w:color w:val="2F5496"/>
      <w:kern w:val="3"/>
      <w:sz w:val="60"/>
      <w:szCs w:val="20"/>
      <w:lang w:eastAsia="pl-PL"/>
    </w:rPr>
  </w:style>
  <w:style w:type="paragraph" w:customStyle="1" w:styleId="gmail-msolistparagraph">
    <w:name w:val="gmail-msolistparagraph"/>
    <w:basedOn w:val="Normalny"/>
    <w:pPr>
      <w:spacing w:before="100" w:after="100"/>
    </w:pPr>
    <w:rPr>
      <w:rFonts w:ascii="Times New Roman" w:eastAsia="Times New Roman" w:hAnsi="Times New Roman"/>
      <w:sz w:val="24"/>
      <w:szCs w:val="24"/>
      <w:lang w:eastAsia="pl-PL"/>
    </w:rPr>
  </w:style>
  <w:style w:type="character" w:customStyle="1" w:styleId="FontStyle18">
    <w:name w:val="Font Style18"/>
    <w:rPr>
      <w:rFonts w:ascii="Times New Roman" w:hAnsi="Times New Roman" w:cs="Times New Roman"/>
      <w:b/>
      <w:bCs/>
      <w:sz w:val="22"/>
      <w:szCs w:val="22"/>
    </w:rPr>
  </w:style>
  <w:style w:type="paragraph" w:customStyle="1" w:styleId="Style3">
    <w:name w:val="Style3"/>
    <w:basedOn w:val="Normalny"/>
    <w:pPr>
      <w:widowControl w:val="0"/>
      <w:autoSpaceDE w:val="0"/>
      <w:spacing w:after="0"/>
    </w:pPr>
    <w:rPr>
      <w:rFonts w:ascii="Times New Roman" w:eastAsia="Times New Roman" w:hAnsi="Times New Roman"/>
      <w:sz w:val="24"/>
      <w:szCs w:val="24"/>
      <w:lang w:eastAsia="zh-CN"/>
    </w:rPr>
  </w:style>
  <w:style w:type="paragraph" w:customStyle="1" w:styleId="Wypunktowanie">
    <w:name w:val="Wypunktowanie"/>
    <w:basedOn w:val="Akapitzlist"/>
    <w:pPr>
      <w:numPr>
        <w:numId w:val="3"/>
      </w:numPr>
      <w:spacing w:after="120" w:line="276" w:lineRule="auto"/>
      <w:jc w:val="both"/>
    </w:pPr>
    <w:rPr>
      <w:rFonts w:cs="Arial"/>
      <w:color w:val="666666"/>
      <w:szCs w:val="20"/>
      <w:lang w:eastAsia="pl-PL"/>
    </w:rPr>
  </w:style>
  <w:style w:type="character" w:customStyle="1" w:styleId="xbe">
    <w:name w:val="_xbe"/>
    <w:basedOn w:val="Domylnaczcionkaakapitu"/>
  </w:style>
  <w:style w:type="character" w:customStyle="1" w:styleId="style12">
    <w:name w:val="style12"/>
    <w:basedOn w:val="Domylnaczcionkaakapitu"/>
  </w:style>
  <w:style w:type="paragraph" w:customStyle="1" w:styleId="Domylny">
    <w:name w:val="Domyślny"/>
    <w:pPr>
      <w:suppressAutoHyphens/>
      <w:spacing w:after="200" w:line="276" w:lineRule="auto"/>
    </w:pPr>
    <w:rPr>
      <w:rFonts w:ascii="Times New Roman" w:eastAsia="Times New Roman" w:hAnsi="Times New Roman"/>
      <w:color w:val="00000A"/>
      <w:sz w:val="24"/>
      <w:szCs w:val="24"/>
      <w:lang w:eastAsia="ar-SA"/>
    </w:rPr>
  </w:style>
  <w:style w:type="paragraph" w:customStyle="1" w:styleId="rdo">
    <w:name w:val="Źródło"/>
    <w:basedOn w:val="Normalny"/>
    <w:pPr>
      <w:spacing w:before="120" w:after="240"/>
    </w:pPr>
    <w:rPr>
      <w:rFonts w:cs="Calibri"/>
      <w:i/>
      <w:color w:val="A6A6A6"/>
      <w:sz w:val="16"/>
      <w:szCs w:val="18"/>
    </w:rPr>
  </w:style>
  <w:style w:type="paragraph" w:customStyle="1" w:styleId="Standard0">
    <w:name w:val="Standard"/>
    <w:basedOn w:val="Normalny"/>
    <w:pPr>
      <w:spacing w:after="0"/>
      <w:ind w:left="567"/>
      <w:jc w:val="both"/>
    </w:pPr>
    <w:rPr>
      <w:rFonts w:ascii="Calibri Light" w:eastAsia="Times New Roman" w:hAnsi="Calibri Light"/>
      <w:color w:val="FFFFFF"/>
      <w:kern w:val="3"/>
      <w:sz w:val="28"/>
      <w:lang w:eastAsia="zh-CN"/>
    </w:rPr>
  </w:style>
  <w:style w:type="paragraph" w:customStyle="1" w:styleId="msonormal0">
    <w:name w:val="msonormal"/>
    <w:basedOn w:val="Normalny"/>
    <w:pPr>
      <w:spacing w:before="100" w:after="100"/>
    </w:pPr>
    <w:rPr>
      <w:rFonts w:ascii="Times New Roman" w:eastAsia="Times New Roman" w:hAnsi="Times New Roman"/>
      <w:sz w:val="24"/>
      <w:szCs w:val="24"/>
      <w:lang w:eastAsia="pl-PL"/>
    </w:rPr>
  </w:style>
  <w:style w:type="character" w:customStyle="1" w:styleId="TekstprzypisudolnegoZnak1">
    <w:name w:val="Tekst przypisu dolnego Znak1"/>
    <w:basedOn w:val="Domylnaczcionkaakapitu"/>
    <w:rPr>
      <w:sz w:val="20"/>
      <w:szCs w:val="20"/>
    </w:rPr>
  </w:style>
  <w:style w:type="paragraph" w:customStyle="1" w:styleId="Tekstpodstawowy21">
    <w:name w:val="Tekst podstawowy 21"/>
    <w:basedOn w:val="Normalny"/>
    <w:pPr>
      <w:spacing w:after="0"/>
      <w:jc w:val="both"/>
    </w:pPr>
    <w:rPr>
      <w:rFonts w:ascii="Times New Roman" w:eastAsia="Times New Roman" w:hAnsi="Times New Roman"/>
      <w:sz w:val="24"/>
      <w:szCs w:val="24"/>
      <w:lang w:eastAsia="ar-SA"/>
    </w:rPr>
  </w:style>
  <w:style w:type="character" w:customStyle="1" w:styleId="Nierozpoznanawzmianka1">
    <w:name w:val="Nierozpoznana wzmianka1"/>
    <w:basedOn w:val="Domylnaczcionkaakapitu"/>
    <w:rPr>
      <w:color w:val="605E5C"/>
      <w:shd w:val="clear" w:color="auto" w:fill="E1DFDD"/>
    </w:rPr>
  </w:style>
  <w:style w:type="character" w:styleId="Tytuksiki">
    <w:name w:val="Book Title"/>
    <w:qFormat/>
    <w:rsid w:val="002C1466"/>
    <w:rPr>
      <w:color w:val="262626" w:themeColor="text1" w:themeTint="D9"/>
    </w:rPr>
  </w:style>
  <w:style w:type="paragraph" w:styleId="Podtytu">
    <w:name w:val="Subtitle"/>
    <w:basedOn w:val="Normalny"/>
    <w:next w:val="Normalny"/>
    <w:uiPriority w:val="11"/>
    <w:qFormat/>
    <w:rPr>
      <w:rFonts w:eastAsia="Times New Roman"/>
      <w:color w:val="5A5A5A"/>
      <w:spacing w:val="15"/>
    </w:rPr>
  </w:style>
  <w:style w:type="character" w:customStyle="1" w:styleId="PodtytuZnak">
    <w:name w:val="Podtytuł Znak"/>
    <w:basedOn w:val="Domylnaczcionkaakapitu"/>
    <w:rPr>
      <w:rFonts w:ascii="Calibri" w:eastAsia="Times New Roman" w:hAnsi="Calibri" w:cs="Times New Roman"/>
      <w:color w:val="5A5A5A"/>
      <w:spacing w:val="15"/>
    </w:rPr>
  </w:style>
  <w:style w:type="numbering" w:customStyle="1" w:styleId="LFO1">
    <w:name w:val="LFO1"/>
    <w:basedOn w:val="Bezlisty"/>
    <w:pPr>
      <w:numPr>
        <w:numId w:val="1"/>
      </w:numPr>
    </w:pPr>
  </w:style>
  <w:style w:type="numbering" w:customStyle="1" w:styleId="LFO2">
    <w:name w:val="LFO2"/>
    <w:basedOn w:val="Bezlisty"/>
    <w:pPr>
      <w:numPr>
        <w:numId w:val="2"/>
      </w:numPr>
    </w:pPr>
  </w:style>
  <w:style w:type="numbering" w:customStyle="1" w:styleId="LFO3">
    <w:name w:val="LFO3"/>
    <w:basedOn w:val="Bezlisty"/>
    <w:pPr>
      <w:numPr>
        <w:numId w:val="3"/>
      </w:numPr>
    </w:pPr>
  </w:style>
  <w:style w:type="character" w:styleId="Nierozpoznanawzmianka">
    <w:name w:val="Unresolved Mention"/>
    <w:basedOn w:val="Domylnaczcionkaakapitu"/>
    <w:uiPriority w:val="99"/>
    <w:semiHidden/>
    <w:unhideWhenUsed/>
    <w:rsid w:val="00C96E18"/>
    <w:rPr>
      <w:color w:val="605E5C"/>
      <w:shd w:val="clear" w:color="auto" w:fill="E1DFDD"/>
    </w:rPr>
  </w:style>
  <w:style w:type="table" w:styleId="Tabela-Siatka">
    <w:name w:val="Table Grid"/>
    <w:basedOn w:val="Standardowy"/>
    <w:uiPriority w:val="39"/>
    <w:rsid w:val="002B72F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3154B0"/>
    <w:rPr>
      <w:smallCaps/>
      <w:color w:val="5A5A5A" w:themeColor="text1" w:themeTint="A5"/>
    </w:rPr>
  </w:style>
  <w:style w:type="paragraph" w:customStyle="1" w:styleId="xl66">
    <w:name w:val="xl66"/>
    <w:basedOn w:val="Normalny"/>
    <w:rsid w:val="007332E8"/>
    <w:pPr>
      <w:shd w:val="clear" w:color="F2F2F2" w:fill="FFFFFF"/>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67">
    <w:name w:val="xl67"/>
    <w:basedOn w:val="Normalny"/>
    <w:rsid w:val="007332E8"/>
    <w:pPr>
      <w:suppressAutoHyphens w:val="0"/>
      <w:autoSpaceDN/>
      <w:spacing w:before="100" w:beforeAutospacing="1" w:after="100" w:afterAutospacing="1"/>
      <w:jc w:val="right"/>
      <w:textAlignment w:val="center"/>
    </w:pPr>
    <w:rPr>
      <w:rFonts w:ascii="Times New Roman" w:eastAsia="Times New Roman" w:hAnsi="Times New Roman"/>
      <w:sz w:val="24"/>
      <w:szCs w:val="24"/>
      <w:lang w:eastAsia="pl-PL"/>
    </w:rPr>
  </w:style>
  <w:style w:type="paragraph" w:customStyle="1" w:styleId="xl68">
    <w:name w:val="xl68"/>
    <w:basedOn w:val="Normalny"/>
    <w:rsid w:val="007332E8"/>
    <w:pPr>
      <w:pBdr>
        <w:top w:val="single" w:sz="4" w:space="0" w:color="auto"/>
        <w:left w:val="single" w:sz="4" w:space="0" w:color="auto"/>
        <w:bottom w:val="single" w:sz="4" w:space="0" w:color="auto"/>
        <w:right w:val="single" w:sz="4" w:space="0" w:color="auto"/>
      </w:pBdr>
      <w:shd w:val="clear" w:color="000080" w:fill="002060"/>
      <w:suppressAutoHyphens w:val="0"/>
      <w:autoSpaceDN/>
      <w:spacing w:before="100" w:beforeAutospacing="1" w:after="100" w:afterAutospacing="1"/>
      <w:jc w:val="center"/>
      <w:textAlignment w:val="center"/>
    </w:pPr>
    <w:rPr>
      <w:rFonts w:ascii="Times New Roman" w:eastAsia="Times New Roman" w:hAnsi="Times New Roman"/>
      <w:color w:val="FFFFFF"/>
      <w:sz w:val="24"/>
      <w:szCs w:val="24"/>
      <w:lang w:eastAsia="pl-PL"/>
    </w:rPr>
  </w:style>
  <w:style w:type="paragraph" w:customStyle="1" w:styleId="xl69">
    <w:name w:val="xl69"/>
    <w:basedOn w:val="Normalny"/>
    <w:rsid w:val="007332E8"/>
    <w:pPr>
      <w:pBdr>
        <w:top w:val="single" w:sz="4" w:space="0" w:color="auto"/>
        <w:left w:val="single" w:sz="4" w:space="0" w:color="auto"/>
        <w:bottom w:val="single" w:sz="4" w:space="0" w:color="auto"/>
        <w:right w:val="single" w:sz="4" w:space="0" w:color="auto"/>
      </w:pBdr>
      <w:shd w:val="clear" w:color="000080" w:fill="002060"/>
      <w:suppressAutoHyphens w:val="0"/>
      <w:autoSpaceDN/>
      <w:spacing w:before="100" w:beforeAutospacing="1" w:after="100" w:afterAutospacing="1"/>
      <w:jc w:val="center"/>
      <w:textAlignment w:val="center"/>
    </w:pPr>
    <w:rPr>
      <w:rFonts w:ascii="Times New Roman" w:eastAsia="Times New Roman" w:hAnsi="Times New Roman"/>
      <w:color w:val="FFFFFF"/>
      <w:sz w:val="24"/>
      <w:szCs w:val="24"/>
      <w:lang w:eastAsia="pl-PL"/>
    </w:rPr>
  </w:style>
  <w:style w:type="paragraph" w:customStyle="1" w:styleId="xl70">
    <w:name w:val="xl70"/>
    <w:basedOn w:val="Normalny"/>
    <w:rsid w:val="007332E8"/>
    <w:pPr>
      <w:shd w:val="clear" w:color="FFFFFF" w:fill="F2F2F2"/>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71">
    <w:name w:val="xl71"/>
    <w:basedOn w:val="Normalny"/>
    <w:rsid w:val="007332E8"/>
    <w:pPr>
      <w:pBdr>
        <w:top w:val="single" w:sz="4" w:space="0" w:color="auto"/>
        <w:left w:val="single" w:sz="4" w:space="0" w:color="auto"/>
        <w:bottom w:val="single" w:sz="4" w:space="0" w:color="auto"/>
        <w:right w:val="single" w:sz="4" w:space="0" w:color="auto"/>
      </w:pBdr>
      <w:shd w:val="clear" w:color="F2F2F2" w:fill="FFFFFF"/>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72">
    <w:name w:val="xl72"/>
    <w:basedOn w:val="Normalny"/>
    <w:rsid w:val="007332E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73">
    <w:name w:val="xl73"/>
    <w:basedOn w:val="Normalny"/>
    <w:rsid w:val="007332E8"/>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74">
    <w:name w:val="xl74"/>
    <w:basedOn w:val="Normalny"/>
    <w:rsid w:val="007332E8"/>
    <w:pPr>
      <w:pBdr>
        <w:top w:val="single" w:sz="4" w:space="0" w:color="auto"/>
        <w:left w:val="single" w:sz="4" w:space="0" w:color="auto"/>
        <w:bottom w:val="single" w:sz="4" w:space="0" w:color="auto"/>
        <w:right w:val="single" w:sz="4" w:space="0" w:color="auto"/>
      </w:pBdr>
      <w:shd w:val="clear" w:color="000000" w:fill="002060"/>
      <w:suppressAutoHyphens w:val="0"/>
      <w:autoSpaceDN/>
      <w:spacing w:before="100" w:beforeAutospacing="1" w:after="100" w:afterAutospacing="1"/>
      <w:jc w:val="center"/>
      <w:textAlignment w:val="center"/>
    </w:pPr>
    <w:rPr>
      <w:rFonts w:ascii="Times New Roman" w:eastAsia="Times New Roman" w:hAnsi="Times New Roman"/>
      <w:color w:val="FFFFFF"/>
      <w:sz w:val="24"/>
      <w:szCs w:val="24"/>
      <w:lang w:eastAsia="pl-PL"/>
    </w:rPr>
  </w:style>
  <w:style w:type="paragraph" w:customStyle="1" w:styleId="xl75">
    <w:name w:val="xl75"/>
    <w:basedOn w:val="Normalny"/>
    <w:rsid w:val="007332E8"/>
    <w:pPr>
      <w:shd w:val="clear" w:color="000000" w:fill="FFFFFF"/>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76">
    <w:name w:val="xl76"/>
    <w:basedOn w:val="Normalny"/>
    <w:rsid w:val="007332E8"/>
    <w:pPr>
      <w:pBdr>
        <w:top w:val="single" w:sz="4" w:space="0" w:color="auto"/>
        <w:left w:val="single" w:sz="4" w:space="0" w:color="auto"/>
        <w:right w:val="single" w:sz="4" w:space="0" w:color="auto"/>
      </w:pBdr>
      <w:shd w:val="clear" w:color="F2F2F2" w:fill="FFFFFF"/>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77">
    <w:name w:val="xl77"/>
    <w:basedOn w:val="Normalny"/>
    <w:rsid w:val="007332E8"/>
    <w:pPr>
      <w:shd w:val="clear" w:color="000080" w:fill="002060"/>
      <w:suppressAutoHyphens w:val="0"/>
      <w:autoSpaceDN/>
      <w:spacing w:before="100" w:beforeAutospacing="1" w:after="100" w:afterAutospacing="1"/>
      <w:jc w:val="center"/>
      <w:textAlignment w:val="center"/>
    </w:pPr>
    <w:rPr>
      <w:rFonts w:ascii="Times New Roman" w:eastAsia="Times New Roman" w:hAnsi="Times New Roman"/>
      <w:color w:val="FFFFFF"/>
      <w:sz w:val="24"/>
      <w:szCs w:val="24"/>
      <w:lang w:eastAsia="pl-PL"/>
    </w:rPr>
  </w:style>
  <w:style w:type="paragraph" w:customStyle="1" w:styleId="xl78">
    <w:name w:val="xl78"/>
    <w:basedOn w:val="Normalny"/>
    <w:rsid w:val="007332E8"/>
    <w:pPr>
      <w:pBdr>
        <w:top w:val="single" w:sz="4" w:space="0" w:color="auto"/>
        <w:left w:val="single" w:sz="4" w:space="0" w:color="auto"/>
        <w:bottom w:val="single" w:sz="4" w:space="0" w:color="auto"/>
        <w:right w:val="single" w:sz="4" w:space="0" w:color="auto"/>
      </w:pBdr>
      <w:shd w:val="clear" w:color="F2F2F2" w:fill="FFFFFF"/>
      <w:suppressAutoHyphens w:val="0"/>
      <w:autoSpaceDN/>
      <w:spacing w:before="100" w:beforeAutospacing="1" w:after="100" w:afterAutospacing="1"/>
      <w:jc w:val="right"/>
      <w:textAlignment w:val="auto"/>
    </w:pPr>
    <w:rPr>
      <w:rFonts w:ascii="Times New Roman" w:eastAsia="Times New Roman" w:hAnsi="Times New Roman"/>
      <w:sz w:val="24"/>
      <w:szCs w:val="24"/>
      <w:lang w:eastAsia="pl-PL"/>
    </w:rPr>
  </w:style>
  <w:style w:type="paragraph" w:customStyle="1" w:styleId="xl79">
    <w:name w:val="xl79"/>
    <w:basedOn w:val="Normalny"/>
    <w:rsid w:val="007332E8"/>
    <w:pPr>
      <w:pBdr>
        <w:top w:val="single" w:sz="4" w:space="0" w:color="auto"/>
        <w:left w:val="single" w:sz="4" w:space="0" w:color="auto"/>
        <w:bottom w:val="single" w:sz="4" w:space="0" w:color="auto"/>
        <w:right w:val="single" w:sz="4" w:space="0" w:color="auto"/>
      </w:pBdr>
      <w:shd w:val="clear" w:color="F2F2F2" w:fill="FFF2CC"/>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80">
    <w:name w:val="xl80"/>
    <w:basedOn w:val="Normalny"/>
    <w:rsid w:val="007332E8"/>
    <w:pPr>
      <w:pBdr>
        <w:top w:val="single" w:sz="4" w:space="0" w:color="auto"/>
        <w:left w:val="single" w:sz="4" w:space="0" w:color="auto"/>
        <w:bottom w:val="single" w:sz="4" w:space="0" w:color="auto"/>
        <w:right w:val="single" w:sz="4" w:space="0" w:color="auto"/>
      </w:pBdr>
      <w:shd w:val="clear" w:color="F2F2F2" w:fill="FCE4D6"/>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81">
    <w:name w:val="xl81"/>
    <w:basedOn w:val="Normalny"/>
    <w:rsid w:val="007332E8"/>
    <w:pPr>
      <w:pBdr>
        <w:top w:val="single" w:sz="4" w:space="0" w:color="auto"/>
        <w:left w:val="single" w:sz="4" w:space="0" w:color="auto"/>
        <w:bottom w:val="single" w:sz="4" w:space="0" w:color="auto"/>
        <w:right w:val="single" w:sz="4" w:space="0" w:color="auto"/>
      </w:pBdr>
      <w:shd w:val="clear" w:color="F2F2F2" w:fill="E2EFDA"/>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82">
    <w:name w:val="xl82"/>
    <w:basedOn w:val="Normalny"/>
    <w:rsid w:val="007332E8"/>
    <w:pPr>
      <w:pBdr>
        <w:top w:val="single" w:sz="4" w:space="0" w:color="auto"/>
        <w:left w:val="single" w:sz="4" w:space="0" w:color="auto"/>
        <w:bottom w:val="single" w:sz="4" w:space="0" w:color="auto"/>
        <w:right w:val="single" w:sz="4" w:space="0" w:color="auto"/>
      </w:pBdr>
      <w:shd w:val="clear" w:color="000000" w:fill="FFF2CC"/>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83">
    <w:name w:val="xl83"/>
    <w:basedOn w:val="Normalny"/>
    <w:rsid w:val="007332E8"/>
    <w:pPr>
      <w:pBdr>
        <w:top w:val="single" w:sz="4" w:space="0" w:color="auto"/>
        <w:left w:val="single" w:sz="4" w:space="0" w:color="auto"/>
        <w:bottom w:val="single" w:sz="4" w:space="0" w:color="auto"/>
        <w:right w:val="single" w:sz="4" w:space="0" w:color="auto"/>
      </w:pBdr>
      <w:shd w:val="clear" w:color="000000" w:fill="FCE4D6"/>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84">
    <w:name w:val="xl84"/>
    <w:basedOn w:val="Normalny"/>
    <w:rsid w:val="007332E8"/>
    <w:pPr>
      <w:pBdr>
        <w:top w:val="single" w:sz="4" w:space="0" w:color="auto"/>
        <w:left w:val="single" w:sz="4" w:space="0" w:color="auto"/>
        <w:bottom w:val="single" w:sz="4" w:space="0" w:color="auto"/>
        <w:right w:val="single" w:sz="4" w:space="0" w:color="auto"/>
      </w:pBdr>
      <w:shd w:val="clear" w:color="000000" w:fill="E2EFDA"/>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85">
    <w:name w:val="xl85"/>
    <w:basedOn w:val="Normalny"/>
    <w:rsid w:val="007332E8"/>
    <w:pPr>
      <w:pBdr>
        <w:top w:val="single" w:sz="4" w:space="0" w:color="auto"/>
        <w:left w:val="single" w:sz="4" w:space="0" w:color="auto"/>
        <w:bottom w:val="single" w:sz="4" w:space="0" w:color="auto"/>
        <w:right w:val="single" w:sz="4" w:space="0" w:color="auto"/>
      </w:pBdr>
      <w:shd w:val="clear" w:color="F2F2F2" w:fill="E2EFDA"/>
      <w:suppressAutoHyphens w:val="0"/>
      <w:autoSpaceDN/>
      <w:spacing w:before="100" w:beforeAutospacing="1" w:after="100" w:afterAutospacing="1"/>
      <w:jc w:val="right"/>
      <w:textAlignment w:val="auto"/>
    </w:pPr>
    <w:rPr>
      <w:rFonts w:ascii="Times New Roman" w:eastAsia="Times New Roman" w:hAnsi="Times New Roman"/>
      <w:sz w:val="24"/>
      <w:szCs w:val="24"/>
      <w:lang w:eastAsia="pl-PL"/>
    </w:rPr>
  </w:style>
  <w:style w:type="paragraph" w:customStyle="1" w:styleId="xl86">
    <w:name w:val="xl86"/>
    <w:basedOn w:val="Normalny"/>
    <w:rsid w:val="007332E8"/>
    <w:pPr>
      <w:pBdr>
        <w:top w:val="single" w:sz="4" w:space="0" w:color="auto"/>
        <w:left w:val="single" w:sz="4" w:space="0" w:color="auto"/>
        <w:bottom w:val="single" w:sz="4" w:space="0" w:color="auto"/>
        <w:right w:val="single" w:sz="4" w:space="0" w:color="auto"/>
      </w:pBdr>
      <w:shd w:val="clear" w:color="F2F2F2" w:fill="FFF2CC"/>
      <w:suppressAutoHyphens w:val="0"/>
      <w:autoSpaceDN/>
      <w:spacing w:before="100" w:beforeAutospacing="1" w:after="100" w:afterAutospacing="1"/>
      <w:jc w:val="right"/>
      <w:textAlignment w:val="auto"/>
    </w:pPr>
    <w:rPr>
      <w:rFonts w:ascii="Times New Roman" w:eastAsia="Times New Roman" w:hAnsi="Times New Roman"/>
      <w:sz w:val="24"/>
      <w:szCs w:val="24"/>
      <w:lang w:eastAsia="pl-PL"/>
    </w:rPr>
  </w:style>
  <w:style w:type="paragraph" w:customStyle="1" w:styleId="xl87">
    <w:name w:val="xl87"/>
    <w:basedOn w:val="Normalny"/>
    <w:rsid w:val="007332E8"/>
    <w:pPr>
      <w:pBdr>
        <w:top w:val="single" w:sz="4" w:space="0" w:color="auto"/>
        <w:left w:val="single" w:sz="4" w:space="0" w:color="auto"/>
        <w:bottom w:val="single" w:sz="4" w:space="0" w:color="auto"/>
        <w:right w:val="single" w:sz="4" w:space="0" w:color="auto"/>
      </w:pBdr>
      <w:shd w:val="clear" w:color="F2F2F2" w:fill="FCE4D6"/>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88">
    <w:name w:val="xl88"/>
    <w:basedOn w:val="Normalny"/>
    <w:rsid w:val="007332E8"/>
    <w:pPr>
      <w:pBdr>
        <w:top w:val="single" w:sz="4" w:space="0" w:color="auto"/>
        <w:left w:val="single" w:sz="4" w:space="0" w:color="auto"/>
        <w:bottom w:val="single" w:sz="4" w:space="0" w:color="auto"/>
        <w:right w:val="single" w:sz="4" w:space="0" w:color="auto"/>
      </w:pBdr>
      <w:shd w:val="clear" w:color="F2F2F2" w:fill="FFF2CC"/>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89">
    <w:name w:val="xl89"/>
    <w:basedOn w:val="Normalny"/>
    <w:rsid w:val="007332E8"/>
    <w:pPr>
      <w:pBdr>
        <w:top w:val="single" w:sz="4" w:space="0" w:color="auto"/>
        <w:left w:val="single" w:sz="4" w:space="0" w:color="auto"/>
        <w:bottom w:val="single" w:sz="4" w:space="0" w:color="auto"/>
        <w:right w:val="single" w:sz="4" w:space="0" w:color="auto"/>
      </w:pBdr>
      <w:shd w:val="clear" w:color="F2F2F2" w:fill="FFF2CC"/>
      <w:suppressAutoHyphens w:val="0"/>
      <w:autoSpaceDN/>
      <w:spacing w:before="100" w:beforeAutospacing="1" w:after="100" w:afterAutospacing="1"/>
      <w:jc w:val="right"/>
      <w:textAlignment w:val="auto"/>
    </w:pPr>
    <w:rPr>
      <w:rFonts w:ascii="Times New Roman" w:eastAsia="Times New Roman" w:hAnsi="Times New Roman"/>
      <w:sz w:val="24"/>
      <w:szCs w:val="24"/>
      <w:lang w:eastAsia="pl-PL"/>
    </w:rPr>
  </w:style>
  <w:style w:type="paragraph" w:customStyle="1" w:styleId="xl90">
    <w:name w:val="xl90"/>
    <w:basedOn w:val="Normalny"/>
    <w:rsid w:val="007332E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91">
    <w:name w:val="xl91"/>
    <w:basedOn w:val="Normalny"/>
    <w:rsid w:val="007332E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92">
    <w:name w:val="xl92"/>
    <w:basedOn w:val="Normalny"/>
    <w:rsid w:val="007332E8"/>
    <w:pPr>
      <w:pBdr>
        <w:top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Times New Roman" w:eastAsia="Times New Roman" w:hAnsi="Times New Roman"/>
      <w:color w:val="000000"/>
      <w:sz w:val="24"/>
      <w:szCs w:val="24"/>
      <w:lang w:eastAsia="pl-PL"/>
    </w:rPr>
  </w:style>
  <w:style w:type="paragraph" w:customStyle="1" w:styleId="xl93">
    <w:name w:val="xl93"/>
    <w:basedOn w:val="Normalny"/>
    <w:rsid w:val="007332E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94">
    <w:name w:val="xl94"/>
    <w:basedOn w:val="Normalny"/>
    <w:rsid w:val="007332E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Times New Roman" w:eastAsia="Times New Roman" w:hAnsi="Times New Roman"/>
      <w:color w:val="000000"/>
      <w:sz w:val="24"/>
      <w:szCs w:val="24"/>
      <w:lang w:eastAsia="pl-PL"/>
    </w:rPr>
  </w:style>
  <w:style w:type="paragraph" w:customStyle="1" w:styleId="xl95">
    <w:name w:val="xl95"/>
    <w:basedOn w:val="Normalny"/>
    <w:rsid w:val="007332E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Times New Roman" w:eastAsia="Times New Roman" w:hAnsi="Times New Roman"/>
      <w:color w:val="000000"/>
      <w:sz w:val="24"/>
      <w:szCs w:val="24"/>
      <w:lang w:eastAsia="pl-PL"/>
    </w:rPr>
  </w:style>
  <w:style w:type="paragraph" w:customStyle="1" w:styleId="xl96">
    <w:name w:val="xl96"/>
    <w:basedOn w:val="Normalny"/>
    <w:rsid w:val="007332E8"/>
    <w:pPr>
      <w:pBdr>
        <w:left w:val="single" w:sz="4" w:space="0" w:color="auto"/>
        <w:bottom w:val="single" w:sz="4" w:space="0" w:color="auto"/>
        <w:right w:val="single" w:sz="4" w:space="0" w:color="auto"/>
      </w:pBdr>
      <w:shd w:val="clear" w:color="000000" w:fill="F2F2F2"/>
      <w:suppressAutoHyphens w:val="0"/>
      <w:autoSpaceDN/>
      <w:spacing w:before="100" w:beforeAutospacing="1" w:after="100" w:afterAutospacing="1"/>
      <w:jc w:val="right"/>
      <w:textAlignment w:val="auto"/>
    </w:pPr>
    <w:rPr>
      <w:rFonts w:ascii="Times New Roman" w:eastAsia="Times New Roman" w:hAnsi="Times New Roman"/>
      <w:color w:val="000000"/>
      <w:sz w:val="24"/>
      <w:szCs w:val="24"/>
      <w:lang w:eastAsia="pl-PL"/>
    </w:rPr>
  </w:style>
  <w:style w:type="paragraph" w:customStyle="1" w:styleId="xl97">
    <w:name w:val="xl97"/>
    <w:basedOn w:val="Normalny"/>
    <w:rsid w:val="007332E8"/>
    <w:pPr>
      <w:pBdr>
        <w:left w:val="single" w:sz="4" w:space="0" w:color="auto"/>
        <w:bottom w:val="single" w:sz="4" w:space="0" w:color="auto"/>
        <w:right w:val="single" w:sz="4" w:space="0" w:color="auto"/>
      </w:pBdr>
      <w:shd w:val="clear" w:color="000000" w:fill="F2F2F2"/>
      <w:suppressAutoHyphens w:val="0"/>
      <w:autoSpaceDN/>
      <w:spacing w:before="100" w:beforeAutospacing="1" w:after="100" w:afterAutospacing="1"/>
      <w:jc w:val="right"/>
      <w:textAlignment w:val="auto"/>
    </w:pPr>
    <w:rPr>
      <w:rFonts w:ascii="Times New Roman" w:eastAsia="Times New Roman" w:hAnsi="Times New Roman"/>
      <w:color w:val="000000"/>
      <w:sz w:val="24"/>
      <w:szCs w:val="24"/>
      <w:lang w:eastAsia="pl-PL"/>
    </w:rPr>
  </w:style>
  <w:style w:type="paragraph" w:customStyle="1" w:styleId="xl98">
    <w:name w:val="xl98"/>
    <w:basedOn w:val="Normalny"/>
    <w:rsid w:val="007332E8"/>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auto"/>
    </w:pPr>
    <w:rPr>
      <w:rFonts w:ascii="Times New Roman" w:eastAsia="Times New Roman" w:hAnsi="Times New Roman"/>
      <w:sz w:val="24"/>
      <w:szCs w:val="24"/>
      <w:lang w:eastAsia="pl-PL"/>
    </w:rPr>
  </w:style>
  <w:style w:type="paragraph" w:customStyle="1" w:styleId="xl99">
    <w:name w:val="xl99"/>
    <w:basedOn w:val="Normalny"/>
    <w:rsid w:val="007332E8"/>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auto"/>
    </w:pPr>
    <w:rPr>
      <w:rFonts w:ascii="Times New Roman" w:eastAsia="Times New Roman" w:hAnsi="Times New Roman"/>
      <w:sz w:val="24"/>
      <w:szCs w:val="24"/>
      <w:lang w:eastAsia="pl-PL"/>
    </w:rPr>
  </w:style>
  <w:style w:type="paragraph" w:customStyle="1" w:styleId="xl100">
    <w:name w:val="xl100"/>
    <w:basedOn w:val="Normalny"/>
    <w:rsid w:val="007332E8"/>
    <w:pPr>
      <w:pBdr>
        <w:top w:val="single" w:sz="4" w:space="0" w:color="auto"/>
        <w:bottom w:val="single" w:sz="4" w:space="0" w:color="auto"/>
        <w:right w:val="single" w:sz="4" w:space="0" w:color="auto"/>
      </w:pBdr>
      <w:shd w:val="clear" w:color="000000" w:fill="E2EFDA"/>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01">
    <w:name w:val="xl101"/>
    <w:basedOn w:val="Normalny"/>
    <w:rsid w:val="007332E8"/>
    <w:pPr>
      <w:pBdr>
        <w:top w:val="single" w:sz="4" w:space="0" w:color="auto"/>
        <w:left w:val="single" w:sz="4" w:space="0" w:color="auto"/>
        <w:bottom w:val="single" w:sz="4" w:space="0" w:color="auto"/>
        <w:right w:val="single" w:sz="4" w:space="0" w:color="auto"/>
      </w:pBdr>
      <w:shd w:val="clear" w:color="000000" w:fill="E2EFDA"/>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02">
    <w:name w:val="xl102"/>
    <w:basedOn w:val="Normalny"/>
    <w:rsid w:val="007332E8"/>
    <w:pPr>
      <w:pBdr>
        <w:top w:val="single" w:sz="4" w:space="0" w:color="auto"/>
        <w:left w:val="single" w:sz="4" w:space="0" w:color="auto"/>
        <w:bottom w:val="single" w:sz="4" w:space="0" w:color="auto"/>
        <w:right w:val="single" w:sz="4" w:space="0" w:color="auto"/>
      </w:pBdr>
      <w:shd w:val="clear" w:color="000000" w:fill="FCE4D6"/>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03">
    <w:name w:val="xl103"/>
    <w:basedOn w:val="Normalny"/>
    <w:rsid w:val="007332E8"/>
    <w:pPr>
      <w:pBdr>
        <w:top w:val="single" w:sz="4" w:space="0" w:color="auto"/>
        <w:left w:val="single" w:sz="4" w:space="0" w:color="auto"/>
        <w:bottom w:val="single" w:sz="4" w:space="0" w:color="auto"/>
        <w:right w:val="single" w:sz="4" w:space="0" w:color="auto"/>
      </w:pBdr>
      <w:shd w:val="clear" w:color="000000" w:fill="C6E0B4"/>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04">
    <w:name w:val="xl104"/>
    <w:basedOn w:val="Normalny"/>
    <w:rsid w:val="007332E8"/>
    <w:pPr>
      <w:pBdr>
        <w:top w:val="single" w:sz="4" w:space="0" w:color="auto"/>
        <w:bottom w:val="single" w:sz="4" w:space="0" w:color="auto"/>
        <w:right w:val="single" w:sz="4" w:space="0" w:color="auto"/>
      </w:pBdr>
      <w:shd w:val="clear" w:color="000000" w:fill="FFF2CC"/>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05">
    <w:name w:val="xl105"/>
    <w:basedOn w:val="Normalny"/>
    <w:rsid w:val="007332E8"/>
    <w:pPr>
      <w:pBdr>
        <w:top w:val="single" w:sz="4" w:space="0" w:color="auto"/>
        <w:left w:val="single" w:sz="4" w:space="0" w:color="auto"/>
        <w:bottom w:val="single" w:sz="4" w:space="0" w:color="auto"/>
        <w:right w:val="single" w:sz="4" w:space="0" w:color="auto"/>
      </w:pBdr>
      <w:shd w:val="clear" w:color="000000" w:fill="FFF2CC"/>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06">
    <w:name w:val="xl106"/>
    <w:basedOn w:val="Normalny"/>
    <w:rsid w:val="007332E8"/>
    <w:pPr>
      <w:pBdr>
        <w:top w:val="single" w:sz="4" w:space="0" w:color="auto"/>
        <w:bottom w:val="single" w:sz="4" w:space="0" w:color="auto"/>
        <w:right w:val="single" w:sz="4" w:space="0" w:color="auto"/>
      </w:pBdr>
      <w:shd w:val="clear" w:color="000000" w:fill="FCE4D6"/>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07">
    <w:name w:val="xl107"/>
    <w:basedOn w:val="Normalny"/>
    <w:rsid w:val="007332E8"/>
    <w:pPr>
      <w:pBdr>
        <w:top w:val="single" w:sz="4" w:space="0" w:color="auto"/>
        <w:left w:val="single" w:sz="4" w:space="0" w:color="auto"/>
        <w:bottom w:val="single" w:sz="4" w:space="0" w:color="auto"/>
        <w:right w:val="single" w:sz="4" w:space="0" w:color="auto"/>
      </w:pBdr>
      <w:shd w:val="clear" w:color="000000" w:fill="F8CBAD"/>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08">
    <w:name w:val="xl108"/>
    <w:basedOn w:val="Normalny"/>
    <w:rsid w:val="007332E8"/>
    <w:pPr>
      <w:pBdr>
        <w:top w:val="single" w:sz="4" w:space="0" w:color="auto"/>
        <w:left w:val="single" w:sz="4" w:space="0" w:color="auto"/>
        <w:bottom w:val="single" w:sz="4" w:space="0" w:color="auto"/>
        <w:right w:val="single" w:sz="4" w:space="0" w:color="auto"/>
      </w:pBdr>
      <w:shd w:val="clear" w:color="F2F2F2" w:fill="FFF2CC"/>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109">
    <w:name w:val="xl109"/>
    <w:basedOn w:val="Normalny"/>
    <w:rsid w:val="007332E8"/>
    <w:pPr>
      <w:pBdr>
        <w:top w:val="single" w:sz="4" w:space="0" w:color="auto"/>
        <w:left w:val="single" w:sz="4" w:space="0" w:color="auto"/>
        <w:bottom w:val="single" w:sz="4" w:space="0" w:color="auto"/>
        <w:right w:val="single" w:sz="4" w:space="0" w:color="auto"/>
      </w:pBdr>
      <w:shd w:val="clear" w:color="F2F2F2" w:fill="FCE4D6"/>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110">
    <w:name w:val="xl110"/>
    <w:basedOn w:val="Normalny"/>
    <w:rsid w:val="007332E8"/>
    <w:pPr>
      <w:shd w:val="clear" w:color="000080" w:fill="002060"/>
      <w:suppressAutoHyphens w:val="0"/>
      <w:autoSpaceDN/>
      <w:spacing w:before="100" w:beforeAutospacing="1" w:after="100" w:afterAutospacing="1"/>
      <w:jc w:val="center"/>
      <w:textAlignment w:val="center"/>
    </w:pPr>
    <w:rPr>
      <w:rFonts w:ascii="Times New Roman" w:eastAsia="Times New Roman" w:hAnsi="Times New Roman"/>
      <w:b/>
      <w:bCs/>
      <w:color w:val="FFFFFF"/>
      <w:sz w:val="24"/>
      <w:szCs w:val="24"/>
      <w:lang w:eastAsia="pl-PL"/>
    </w:rPr>
  </w:style>
  <w:style w:type="paragraph" w:customStyle="1" w:styleId="xl111">
    <w:name w:val="xl111"/>
    <w:basedOn w:val="Normalny"/>
    <w:rsid w:val="007332E8"/>
    <w:pPr>
      <w:pBdr>
        <w:top w:val="single" w:sz="4" w:space="0" w:color="auto"/>
        <w:left w:val="single" w:sz="4" w:space="0" w:color="auto"/>
        <w:bottom w:val="single" w:sz="4" w:space="0" w:color="auto"/>
        <w:right w:val="single" w:sz="4" w:space="0" w:color="auto"/>
      </w:pBdr>
      <w:shd w:val="clear" w:color="F2F2F2" w:fill="E2EFDA"/>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 w:type="paragraph" w:customStyle="1" w:styleId="xl112">
    <w:name w:val="xl112"/>
    <w:basedOn w:val="Normalny"/>
    <w:rsid w:val="007332E8"/>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13">
    <w:name w:val="xl113"/>
    <w:basedOn w:val="Normalny"/>
    <w:rsid w:val="007332E8"/>
    <w:pPr>
      <w:pBdr>
        <w:top w:val="single" w:sz="4" w:space="0" w:color="auto"/>
        <w:bottom w:val="single" w:sz="4" w:space="0" w:color="auto"/>
      </w:pBdr>
      <w:shd w:val="clear" w:color="000000" w:fill="FFFFFF"/>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14">
    <w:name w:val="xl114"/>
    <w:basedOn w:val="Normalny"/>
    <w:rsid w:val="007332E8"/>
    <w:pPr>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15">
    <w:name w:val="xl115"/>
    <w:basedOn w:val="Normalny"/>
    <w:rsid w:val="007332E8"/>
    <w:pPr>
      <w:pBdr>
        <w:top w:val="single" w:sz="4" w:space="0" w:color="auto"/>
        <w:left w:val="single" w:sz="4" w:space="0" w:color="auto"/>
        <w:bottom w:val="single" w:sz="4" w:space="0" w:color="auto"/>
      </w:pBdr>
      <w:shd w:val="clear" w:color="000000" w:fill="E2EFDA"/>
      <w:suppressAutoHyphens w:val="0"/>
      <w:autoSpaceDN/>
      <w:spacing w:before="100" w:beforeAutospacing="1" w:after="100" w:afterAutospacing="1"/>
      <w:textAlignment w:val="center"/>
    </w:pPr>
    <w:rPr>
      <w:rFonts w:ascii="Times New Roman" w:eastAsia="Times New Roman" w:hAnsi="Times New Roman"/>
      <w:sz w:val="24"/>
      <w:szCs w:val="24"/>
      <w:lang w:eastAsia="pl-PL"/>
    </w:rPr>
  </w:style>
  <w:style w:type="paragraph" w:customStyle="1" w:styleId="xl116">
    <w:name w:val="xl116"/>
    <w:basedOn w:val="Normalny"/>
    <w:rsid w:val="007332E8"/>
    <w:pPr>
      <w:pBdr>
        <w:top w:val="single" w:sz="4" w:space="0" w:color="auto"/>
        <w:bottom w:val="single" w:sz="4" w:space="0" w:color="auto"/>
      </w:pBdr>
      <w:shd w:val="clear" w:color="000000" w:fill="E2EFDA"/>
      <w:suppressAutoHyphens w:val="0"/>
      <w:autoSpaceDN/>
      <w:spacing w:before="100" w:beforeAutospacing="1" w:after="100" w:afterAutospacing="1"/>
      <w:textAlignment w:val="center"/>
    </w:pPr>
    <w:rPr>
      <w:rFonts w:ascii="Times New Roman" w:eastAsia="Times New Roman" w:hAnsi="Times New Roman"/>
      <w:sz w:val="24"/>
      <w:szCs w:val="24"/>
      <w:lang w:eastAsia="pl-PL"/>
    </w:rPr>
  </w:style>
  <w:style w:type="paragraph" w:customStyle="1" w:styleId="xl117">
    <w:name w:val="xl117"/>
    <w:basedOn w:val="Normalny"/>
    <w:rsid w:val="007332E8"/>
    <w:pPr>
      <w:pBdr>
        <w:top w:val="single" w:sz="4" w:space="0" w:color="auto"/>
        <w:left w:val="single" w:sz="4" w:space="0" w:color="auto"/>
        <w:bottom w:val="single" w:sz="4" w:space="0" w:color="auto"/>
      </w:pBdr>
      <w:shd w:val="clear" w:color="000000" w:fill="FFF2CC"/>
      <w:suppressAutoHyphens w:val="0"/>
      <w:autoSpaceDN/>
      <w:spacing w:before="100" w:beforeAutospacing="1" w:after="100" w:afterAutospacing="1"/>
      <w:textAlignment w:val="center"/>
    </w:pPr>
    <w:rPr>
      <w:rFonts w:ascii="Times New Roman" w:eastAsia="Times New Roman" w:hAnsi="Times New Roman"/>
      <w:sz w:val="24"/>
      <w:szCs w:val="24"/>
      <w:lang w:eastAsia="pl-PL"/>
    </w:rPr>
  </w:style>
  <w:style w:type="paragraph" w:customStyle="1" w:styleId="xl118">
    <w:name w:val="xl118"/>
    <w:basedOn w:val="Normalny"/>
    <w:rsid w:val="007332E8"/>
    <w:pPr>
      <w:pBdr>
        <w:top w:val="single" w:sz="4" w:space="0" w:color="auto"/>
        <w:bottom w:val="single" w:sz="4" w:space="0" w:color="auto"/>
      </w:pBdr>
      <w:shd w:val="clear" w:color="000000" w:fill="FFF2CC"/>
      <w:suppressAutoHyphens w:val="0"/>
      <w:autoSpaceDN/>
      <w:spacing w:before="100" w:beforeAutospacing="1" w:after="100" w:afterAutospacing="1"/>
      <w:textAlignment w:val="center"/>
    </w:pPr>
    <w:rPr>
      <w:rFonts w:ascii="Times New Roman" w:eastAsia="Times New Roman" w:hAnsi="Times New Roman"/>
      <w:sz w:val="24"/>
      <w:szCs w:val="24"/>
      <w:lang w:eastAsia="pl-PL"/>
    </w:rPr>
  </w:style>
  <w:style w:type="paragraph" w:customStyle="1" w:styleId="xl119">
    <w:name w:val="xl119"/>
    <w:basedOn w:val="Normalny"/>
    <w:rsid w:val="007332E8"/>
    <w:pPr>
      <w:pBdr>
        <w:top w:val="single" w:sz="4" w:space="0" w:color="auto"/>
        <w:left w:val="single" w:sz="4" w:space="0" w:color="auto"/>
        <w:bottom w:val="single" w:sz="4" w:space="0" w:color="auto"/>
      </w:pBdr>
      <w:shd w:val="clear" w:color="000000" w:fill="FCE4D6"/>
      <w:suppressAutoHyphens w:val="0"/>
      <w:autoSpaceDN/>
      <w:spacing w:before="100" w:beforeAutospacing="1" w:after="100" w:afterAutospacing="1"/>
      <w:textAlignment w:val="center"/>
    </w:pPr>
    <w:rPr>
      <w:rFonts w:ascii="Times New Roman" w:eastAsia="Times New Roman" w:hAnsi="Times New Roman"/>
      <w:sz w:val="24"/>
      <w:szCs w:val="24"/>
      <w:lang w:eastAsia="pl-PL"/>
    </w:rPr>
  </w:style>
  <w:style w:type="paragraph" w:customStyle="1" w:styleId="xl120">
    <w:name w:val="xl120"/>
    <w:basedOn w:val="Normalny"/>
    <w:rsid w:val="007332E8"/>
    <w:pPr>
      <w:pBdr>
        <w:top w:val="single" w:sz="4" w:space="0" w:color="auto"/>
        <w:bottom w:val="single" w:sz="4" w:space="0" w:color="auto"/>
      </w:pBdr>
      <w:shd w:val="clear" w:color="000000" w:fill="FCE4D6"/>
      <w:suppressAutoHyphens w:val="0"/>
      <w:autoSpaceDN/>
      <w:spacing w:before="100" w:beforeAutospacing="1" w:after="100" w:afterAutospacing="1"/>
      <w:textAlignment w:val="center"/>
    </w:pPr>
    <w:rPr>
      <w:rFonts w:ascii="Times New Roman" w:eastAsia="Times New Roman" w:hAnsi="Times New Roman"/>
      <w:sz w:val="24"/>
      <w:szCs w:val="24"/>
      <w:lang w:eastAsia="pl-PL"/>
    </w:rPr>
  </w:style>
  <w:style w:type="paragraph" w:customStyle="1" w:styleId="xl121">
    <w:name w:val="xl121"/>
    <w:basedOn w:val="Normalny"/>
    <w:rsid w:val="007332E8"/>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Times New Roman" w:eastAsia="Times New Roman" w:hAnsi="Times New Roman"/>
      <w:sz w:val="24"/>
      <w:szCs w:val="24"/>
      <w:lang w:eastAsia="pl-PL"/>
    </w:rPr>
  </w:style>
  <w:style w:type="paragraph" w:customStyle="1" w:styleId="xl122">
    <w:name w:val="xl122"/>
    <w:basedOn w:val="Normalny"/>
    <w:rsid w:val="007332E8"/>
    <w:pPr>
      <w:pBdr>
        <w:top w:val="single" w:sz="4" w:space="0" w:color="auto"/>
        <w:bottom w:val="single" w:sz="4" w:space="0" w:color="auto"/>
      </w:pBdr>
      <w:suppressAutoHyphens w:val="0"/>
      <w:autoSpaceDN/>
      <w:spacing w:before="100" w:beforeAutospacing="1" w:after="100" w:afterAutospacing="1"/>
      <w:textAlignment w:val="center"/>
    </w:pPr>
    <w:rPr>
      <w:rFonts w:ascii="Times New Roman" w:eastAsia="Times New Roman" w:hAnsi="Times New Roman"/>
      <w:sz w:val="24"/>
      <w:szCs w:val="24"/>
      <w:lang w:eastAsia="pl-PL"/>
    </w:rPr>
  </w:style>
  <w:style w:type="paragraph" w:customStyle="1" w:styleId="xl123">
    <w:name w:val="xl123"/>
    <w:basedOn w:val="Normalny"/>
    <w:rsid w:val="007332E8"/>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24">
    <w:name w:val="xl124"/>
    <w:basedOn w:val="Normalny"/>
    <w:rsid w:val="007332E8"/>
    <w:pPr>
      <w:pBdr>
        <w:left w:val="single" w:sz="4" w:space="0" w:color="auto"/>
        <w:bottom w:val="single" w:sz="4" w:space="0" w:color="auto"/>
      </w:pBdr>
      <w:shd w:val="clear" w:color="000000" w:fill="F2F2F2"/>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25">
    <w:name w:val="xl125"/>
    <w:basedOn w:val="Normalny"/>
    <w:rsid w:val="007332E8"/>
    <w:pPr>
      <w:pBdr>
        <w:bottom w:val="single" w:sz="4" w:space="0" w:color="auto"/>
      </w:pBdr>
      <w:shd w:val="clear" w:color="000000" w:fill="F2F2F2"/>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26">
    <w:name w:val="xl126"/>
    <w:basedOn w:val="Normalny"/>
    <w:rsid w:val="007332E8"/>
    <w:pPr>
      <w:pBdr>
        <w:bottom w:val="single" w:sz="4" w:space="0" w:color="auto"/>
        <w:right w:val="single" w:sz="4" w:space="0" w:color="auto"/>
      </w:pBdr>
      <w:shd w:val="clear" w:color="000000" w:fill="F2F2F2"/>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27">
    <w:name w:val="xl127"/>
    <w:basedOn w:val="Normalny"/>
    <w:rsid w:val="007332E8"/>
    <w:pPr>
      <w:pBdr>
        <w:top w:val="single" w:sz="4" w:space="0" w:color="auto"/>
        <w:left w:val="single" w:sz="4" w:space="0" w:color="auto"/>
        <w:bottom w:val="single" w:sz="4" w:space="0" w:color="auto"/>
      </w:pBdr>
      <w:shd w:val="clear" w:color="000000" w:fill="F2F2F2"/>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28">
    <w:name w:val="xl128"/>
    <w:basedOn w:val="Normalny"/>
    <w:rsid w:val="007332E8"/>
    <w:pPr>
      <w:pBdr>
        <w:top w:val="single" w:sz="4" w:space="0" w:color="auto"/>
        <w:bottom w:val="single" w:sz="4" w:space="0" w:color="auto"/>
      </w:pBdr>
      <w:shd w:val="clear" w:color="000000" w:fill="F2F2F2"/>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29">
    <w:name w:val="xl129"/>
    <w:basedOn w:val="Normalny"/>
    <w:rsid w:val="007332E8"/>
    <w:pPr>
      <w:pBdr>
        <w:top w:val="single" w:sz="4" w:space="0" w:color="auto"/>
        <w:bottom w:val="single" w:sz="4" w:space="0" w:color="auto"/>
        <w:right w:val="single" w:sz="4" w:space="0" w:color="auto"/>
      </w:pBdr>
      <w:shd w:val="clear" w:color="000000" w:fill="F2F2F2"/>
      <w:suppressAutoHyphens w:val="0"/>
      <w:autoSpaceDN/>
      <w:spacing w:before="100" w:beforeAutospacing="1" w:after="100" w:afterAutospacing="1"/>
      <w:textAlignment w:val="auto"/>
    </w:pPr>
    <w:rPr>
      <w:rFonts w:ascii="Times New Roman" w:eastAsia="Times New Roman" w:hAnsi="Times New Roman"/>
      <w:color w:val="000000"/>
      <w:sz w:val="24"/>
      <w:szCs w:val="24"/>
      <w:lang w:eastAsia="pl-PL"/>
    </w:rPr>
  </w:style>
  <w:style w:type="paragraph" w:customStyle="1" w:styleId="xl130">
    <w:name w:val="xl130"/>
    <w:basedOn w:val="Normalny"/>
    <w:rsid w:val="007332E8"/>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textAlignment w:val="center"/>
    </w:pPr>
    <w:rPr>
      <w:rFonts w:ascii="Times New Roman" w:eastAsia="Times New Roman" w:hAnsi="Times New Roman"/>
      <w:color w:val="000000"/>
      <w:sz w:val="24"/>
      <w:szCs w:val="24"/>
      <w:lang w:eastAsia="pl-PL"/>
    </w:rPr>
  </w:style>
  <w:style w:type="paragraph" w:customStyle="1" w:styleId="xl131">
    <w:name w:val="xl131"/>
    <w:basedOn w:val="Normalny"/>
    <w:rsid w:val="007332E8"/>
    <w:pPr>
      <w:pBdr>
        <w:top w:val="single" w:sz="4" w:space="0" w:color="auto"/>
        <w:bottom w:val="single" w:sz="4" w:space="0" w:color="auto"/>
      </w:pBdr>
      <w:shd w:val="clear" w:color="000000" w:fill="FFFFFF"/>
      <w:suppressAutoHyphens w:val="0"/>
      <w:autoSpaceDN/>
      <w:spacing w:before="100" w:beforeAutospacing="1" w:after="100" w:afterAutospacing="1"/>
      <w:textAlignment w:val="center"/>
    </w:pPr>
    <w:rPr>
      <w:rFonts w:ascii="Times New Roman" w:eastAsia="Times New Roman" w:hAnsi="Times New Roman"/>
      <w:color w:val="000000"/>
      <w:sz w:val="24"/>
      <w:szCs w:val="24"/>
      <w:lang w:eastAsia="pl-PL"/>
    </w:rPr>
  </w:style>
  <w:style w:type="character" w:customStyle="1" w:styleId="relative">
    <w:name w:val="relative"/>
    <w:basedOn w:val="Domylnaczcionkaakapitu"/>
    <w:rsid w:val="00917F32"/>
  </w:style>
  <w:style w:type="paragraph" w:customStyle="1" w:styleId="not-prose">
    <w:name w:val="not-prose"/>
    <w:basedOn w:val="Normalny"/>
    <w:rsid w:val="00917F32"/>
    <w:pPr>
      <w:suppressAutoHyphens w:val="0"/>
      <w:autoSpaceDN/>
      <w:spacing w:before="100" w:beforeAutospacing="1" w:after="100" w:afterAutospacing="1"/>
      <w:textAlignment w:val="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11763">
      <w:bodyDiv w:val="1"/>
      <w:marLeft w:val="0"/>
      <w:marRight w:val="0"/>
      <w:marTop w:val="0"/>
      <w:marBottom w:val="0"/>
      <w:divBdr>
        <w:top w:val="none" w:sz="0" w:space="0" w:color="auto"/>
        <w:left w:val="none" w:sz="0" w:space="0" w:color="auto"/>
        <w:bottom w:val="none" w:sz="0" w:space="0" w:color="auto"/>
        <w:right w:val="none" w:sz="0" w:space="0" w:color="auto"/>
      </w:divBdr>
    </w:div>
    <w:div w:id="610093673">
      <w:bodyDiv w:val="1"/>
      <w:marLeft w:val="0"/>
      <w:marRight w:val="0"/>
      <w:marTop w:val="0"/>
      <w:marBottom w:val="0"/>
      <w:divBdr>
        <w:top w:val="none" w:sz="0" w:space="0" w:color="auto"/>
        <w:left w:val="none" w:sz="0" w:space="0" w:color="auto"/>
        <w:bottom w:val="none" w:sz="0" w:space="0" w:color="auto"/>
        <w:right w:val="none" w:sz="0" w:space="0" w:color="auto"/>
      </w:divBdr>
    </w:div>
    <w:div w:id="665472284">
      <w:bodyDiv w:val="1"/>
      <w:marLeft w:val="0"/>
      <w:marRight w:val="0"/>
      <w:marTop w:val="0"/>
      <w:marBottom w:val="0"/>
      <w:divBdr>
        <w:top w:val="none" w:sz="0" w:space="0" w:color="auto"/>
        <w:left w:val="none" w:sz="0" w:space="0" w:color="auto"/>
        <w:bottom w:val="none" w:sz="0" w:space="0" w:color="auto"/>
        <w:right w:val="none" w:sz="0" w:space="0" w:color="auto"/>
      </w:divBdr>
    </w:div>
    <w:div w:id="717776208">
      <w:bodyDiv w:val="1"/>
      <w:marLeft w:val="0"/>
      <w:marRight w:val="0"/>
      <w:marTop w:val="0"/>
      <w:marBottom w:val="0"/>
      <w:divBdr>
        <w:top w:val="none" w:sz="0" w:space="0" w:color="auto"/>
        <w:left w:val="none" w:sz="0" w:space="0" w:color="auto"/>
        <w:bottom w:val="none" w:sz="0" w:space="0" w:color="auto"/>
        <w:right w:val="none" w:sz="0" w:space="0" w:color="auto"/>
      </w:divBdr>
    </w:div>
    <w:div w:id="807093378">
      <w:bodyDiv w:val="1"/>
      <w:marLeft w:val="0"/>
      <w:marRight w:val="0"/>
      <w:marTop w:val="0"/>
      <w:marBottom w:val="0"/>
      <w:divBdr>
        <w:top w:val="none" w:sz="0" w:space="0" w:color="auto"/>
        <w:left w:val="none" w:sz="0" w:space="0" w:color="auto"/>
        <w:bottom w:val="none" w:sz="0" w:space="0" w:color="auto"/>
        <w:right w:val="none" w:sz="0" w:space="0" w:color="auto"/>
      </w:divBdr>
    </w:div>
    <w:div w:id="963267740">
      <w:bodyDiv w:val="1"/>
      <w:marLeft w:val="0"/>
      <w:marRight w:val="0"/>
      <w:marTop w:val="0"/>
      <w:marBottom w:val="0"/>
      <w:divBdr>
        <w:top w:val="none" w:sz="0" w:space="0" w:color="auto"/>
        <w:left w:val="none" w:sz="0" w:space="0" w:color="auto"/>
        <w:bottom w:val="none" w:sz="0" w:space="0" w:color="auto"/>
        <w:right w:val="none" w:sz="0" w:space="0" w:color="auto"/>
      </w:divBdr>
    </w:div>
    <w:div w:id="1070737528">
      <w:bodyDiv w:val="1"/>
      <w:marLeft w:val="0"/>
      <w:marRight w:val="0"/>
      <w:marTop w:val="0"/>
      <w:marBottom w:val="0"/>
      <w:divBdr>
        <w:top w:val="none" w:sz="0" w:space="0" w:color="auto"/>
        <w:left w:val="none" w:sz="0" w:space="0" w:color="auto"/>
        <w:bottom w:val="none" w:sz="0" w:space="0" w:color="auto"/>
        <w:right w:val="none" w:sz="0" w:space="0" w:color="auto"/>
      </w:divBdr>
    </w:div>
    <w:div w:id="1180972567">
      <w:bodyDiv w:val="1"/>
      <w:marLeft w:val="0"/>
      <w:marRight w:val="0"/>
      <w:marTop w:val="0"/>
      <w:marBottom w:val="0"/>
      <w:divBdr>
        <w:top w:val="none" w:sz="0" w:space="0" w:color="auto"/>
        <w:left w:val="none" w:sz="0" w:space="0" w:color="auto"/>
        <w:bottom w:val="none" w:sz="0" w:space="0" w:color="auto"/>
        <w:right w:val="none" w:sz="0" w:space="0" w:color="auto"/>
      </w:divBdr>
    </w:div>
    <w:div w:id="1206790749">
      <w:bodyDiv w:val="1"/>
      <w:marLeft w:val="0"/>
      <w:marRight w:val="0"/>
      <w:marTop w:val="0"/>
      <w:marBottom w:val="0"/>
      <w:divBdr>
        <w:top w:val="none" w:sz="0" w:space="0" w:color="auto"/>
        <w:left w:val="none" w:sz="0" w:space="0" w:color="auto"/>
        <w:bottom w:val="none" w:sz="0" w:space="0" w:color="auto"/>
        <w:right w:val="none" w:sz="0" w:space="0" w:color="auto"/>
      </w:divBdr>
    </w:div>
    <w:div w:id="1851291504">
      <w:bodyDiv w:val="1"/>
      <w:marLeft w:val="0"/>
      <w:marRight w:val="0"/>
      <w:marTop w:val="0"/>
      <w:marBottom w:val="0"/>
      <w:divBdr>
        <w:top w:val="none" w:sz="0" w:space="0" w:color="auto"/>
        <w:left w:val="none" w:sz="0" w:space="0" w:color="auto"/>
        <w:bottom w:val="none" w:sz="0" w:space="0" w:color="auto"/>
        <w:right w:val="none" w:sz="0" w:space="0" w:color="auto"/>
      </w:divBdr>
    </w:div>
    <w:div w:id="1905556118">
      <w:bodyDiv w:val="1"/>
      <w:marLeft w:val="0"/>
      <w:marRight w:val="0"/>
      <w:marTop w:val="0"/>
      <w:marBottom w:val="0"/>
      <w:divBdr>
        <w:top w:val="none" w:sz="0" w:space="0" w:color="auto"/>
        <w:left w:val="none" w:sz="0" w:space="0" w:color="auto"/>
        <w:bottom w:val="none" w:sz="0" w:space="0" w:color="auto"/>
        <w:right w:val="none" w:sz="0" w:space="0" w:color="auto"/>
      </w:divBdr>
    </w:div>
    <w:div w:id="2002079280">
      <w:bodyDiv w:val="1"/>
      <w:marLeft w:val="0"/>
      <w:marRight w:val="0"/>
      <w:marTop w:val="0"/>
      <w:marBottom w:val="0"/>
      <w:divBdr>
        <w:top w:val="none" w:sz="0" w:space="0" w:color="auto"/>
        <w:left w:val="none" w:sz="0" w:space="0" w:color="auto"/>
        <w:bottom w:val="none" w:sz="0" w:space="0" w:color="auto"/>
        <w:right w:val="none" w:sz="0" w:space="0" w:color="auto"/>
      </w:divBdr>
      <w:divsChild>
        <w:div w:id="1375888601">
          <w:marLeft w:val="0"/>
          <w:marRight w:val="0"/>
          <w:marTop w:val="0"/>
          <w:marBottom w:val="225"/>
          <w:divBdr>
            <w:top w:val="none" w:sz="0" w:space="0" w:color="auto"/>
            <w:left w:val="none" w:sz="0" w:space="0" w:color="auto"/>
            <w:bottom w:val="none" w:sz="0" w:space="0" w:color="auto"/>
            <w:right w:val="none" w:sz="0" w:space="0" w:color="auto"/>
          </w:divBdr>
        </w:div>
      </w:divsChild>
    </w:div>
    <w:div w:id="2110395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gov.pl/web/rozwoj-technologia/delimitacja-krok-po-kroku" TargetMode="External"/><Relationship Id="rId2" Type="http://schemas.openxmlformats.org/officeDocument/2006/relationships/hyperlink" Target="https://krosniewice.pl/gmina/fundusze-rzadowe-realizowane-projekty/rzadowy-fundusz-polski-lad-program-inwestycji-strategicznych.html" TargetMode="External"/><Relationship Id="rId1" Type="http://schemas.openxmlformats.org/officeDocument/2006/relationships/hyperlink" Target="https://www.gov.pl/web/fundusze-regiony/zasady-realizacji-instrumentow-terytorialnych-w-polsce-w-perspektywie-finansowej-ue-na-lata-2021-2027" TargetMode="External"/><Relationship Id="rId4" Type="http://schemas.openxmlformats.org/officeDocument/2006/relationships/hyperlink" Target="https://www.gov.pl/web/rozwoj-technologia/gminny-program-rewitalizacji-praktyczny-poradnik-dla-mieszkancow-i-wladz-lokalnych"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9740E-9592-4A86-89A1-CC054F2C1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20184</Words>
  <Characters>121104</Characters>
  <Application>Microsoft Office Word</Application>
  <DocSecurity>4</DocSecurity>
  <Lines>1009</Lines>
  <Paragraphs>282</Paragraphs>
  <ScaleCrop>false</ScaleCrop>
  <HeadingPairs>
    <vt:vector size="4" baseType="variant">
      <vt:variant>
        <vt:lpstr>Tytuł</vt:lpstr>
      </vt:variant>
      <vt:variant>
        <vt:i4>1</vt:i4>
      </vt:variant>
      <vt:variant>
        <vt:lpstr>Nagłówki</vt:lpstr>
      </vt:variant>
      <vt:variant>
        <vt:i4>11</vt:i4>
      </vt:variant>
    </vt:vector>
  </HeadingPairs>
  <TitlesOfParts>
    <vt:vector size="12" baseType="lpstr">
      <vt:lpstr/>
      <vt:lpstr/>
      <vt:lpstr>&lt;</vt:lpstr>
      <vt:lpstr>Spis treści</vt:lpstr>
      <vt:lpstr>Rozdział I. Synteza ustaleń diagnozy </vt:lpstr>
      <vt:lpstr>Rozdział II. Mechanizmy włączenia mieszkańców w proces diagnostyczny </vt:lpstr>
      <vt:lpstr>Rozdział III. Opis działań diagnostycznych  </vt:lpstr>
      <vt:lpstr>    Uproszczona diagnoza Gminy Krośniewice</vt:lpstr>
      <vt:lpstr>    Metodologia wyznaczania obszarów kryzysowych</vt:lpstr>
      <vt:lpstr>    Analiza uwarunkowań społecznych </vt:lpstr>
      <vt:lpstr>    Analiza uwarunkowań gospodarczych </vt:lpstr>
      <vt:lpstr>    Analiza uwarunkowań środowiskowych</vt:lpstr>
    </vt:vector>
  </TitlesOfParts>
  <Company/>
  <LinksUpToDate>false</LinksUpToDate>
  <CharactersWithSpaces>141006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Marciniak</dc:creator>
  <cp:keywords/>
  <dc:description/>
  <cp:lastModifiedBy>Andrzej Wdowiak</cp:lastModifiedBy>
  <cp:revision>2</cp:revision>
  <cp:lastPrinted>2025-09-15T08:32:00Z</cp:lastPrinted>
  <dcterms:created xsi:type="dcterms:W3CDTF">2026-01-26T07:07:00Z</dcterms:created>
  <dcterms:modified xsi:type="dcterms:W3CDTF">2026-01-26T07:07:00Z</dcterms:modified>
</cp:coreProperties>
</file>