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A60" w:rsidRDefault="00F85E4C">
      <w:pPr>
        <w:pStyle w:val="TitleStyle"/>
      </w:pPr>
      <w:r>
        <w:t>Wprowadzenie opłaty targowej i określenie zasad ustalania i poboru oraz terminów płatności, wysokości stawek opłaty i zarządzenia jej poboru w drodze inkasa.</w:t>
      </w:r>
    </w:p>
    <w:p w:rsidR="00051A60" w:rsidRDefault="00F85E4C">
      <w:pPr>
        <w:pStyle w:val="NormalStyle"/>
      </w:pPr>
      <w:r>
        <w:t>Lubel.2015.3396 z dnia 2015.11.09</w:t>
      </w:r>
    </w:p>
    <w:p w:rsidR="00051A60" w:rsidRDefault="00F85E4C">
      <w:pPr>
        <w:pStyle w:val="NormalStyle"/>
      </w:pPr>
      <w:r>
        <w:t xml:space="preserve">Status: Akt obowiązujący </w:t>
      </w:r>
    </w:p>
    <w:p w:rsidR="00051A60" w:rsidRDefault="00F85E4C">
      <w:pPr>
        <w:pStyle w:val="NormalStyle"/>
      </w:pPr>
      <w:r>
        <w:t xml:space="preserve">Wersja od: 20 kwietnia 2023r. </w:t>
      </w:r>
    </w:p>
    <w:p w:rsidR="00051A60" w:rsidRDefault="00F85E4C">
      <w:pPr>
        <w:spacing w:after="0"/>
      </w:pPr>
      <w:r>
        <w:br/>
      </w:r>
    </w:p>
    <w:p w:rsidR="00051A60" w:rsidRDefault="00F85E4C">
      <w:pPr>
        <w:spacing w:after="0"/>
      </w:pPr>
      <w:r>
        <w:rPr>
          <w:b/>
          <w:color w:val="000000"/>
        </w:rPr>
        <w:t>Wejście w życie:</w:t>
      </w:r>
    </w:p>
    <w:p w:rsidR="00051A60" w:rsidRDefault="00F85E4C">
      <w:pPr>
        <w:spacing w:after="150"/>
      </w:pPr>
      <w:r>
        <w:rPr>
          <w:color w:val="000000"/>
        </w:rPr>
        <w:t>1 stycznia 2016 r., 24 listopada 2015 r.</w:t>
      </w:r>
    </w:p>
    <w:p w:rsidR="00051A60" w:rsidRDefault="00051A60">
      <w:pPr>
        <w:spacing w:after="0"/>
      </w:pPr>
    </w:p>
    <w:p w:rsidR="00051A60" w:rsidRDefault="00051A60">
      <w:pPr>
        <w:numPr>
          <w:ilvl w:val="0"/>
          <w:numId w:val="1"/>
        </w:numPr>
        <w:spacing w:after="0"/>
      </w:pPr>
    </w:p>
    <w:p w:rsidR="00051A60" w:rsidRDefault="00F85E4C">
      <w:pPr>
        <w:spacing w:after="0"/>
      </w:pPr>
      <w:r>
        <w:br/>
      </w:r>
    </w:p>
    <w:p w:rsidR="00051A60" w:rsidRDefault="00F85E4C">
      <w:pPr>
        <w:spacing w:before="60" w:after="0"/>
        <w:jc w:val="center"/>
      </w:pPr>
      <w:r>
        <w:rPr>
          <w:b/>
          <w:color w:val="000000"/>
        </w:rPr>
        <w:t>UCHWAŁA Nr VII/43/2015</w:t>
      </w:r>
    </w:p>
    <w:p w:rsidR="00051A60" w:rsidRDefault="00F85E4C">
      <w:pPr>
        <w:spacing w:after="0"/>
        <w:jc w:val="center"/>
      </w:pPr>
      <w:r>
        <w:rPr>
          <w:b/>
          <w:color w:val="000000"/>
        </w:rPr>
        <w:t>RADY GMINY MARKUSZÓW</w:t>
      </w:r>
    </w:p>
    <w:p w:rsidR="00051A60" w:rsidRDefault="00F85E4C">
      <w:pPr>
        <w:spacing w:before="80" w:after="0"/>
        <w:jc w:val="center"/>
      </w:pPr>
      <w:r>
        <w:rPr>
          <w:b/>
          <w:color w:val="000000"/>
        </w:rPr>
        <w:t>z dnia 30 października 2015 r.</w:t>
      </w:r>
    </w:p>
    <w:p w:rsidR="00051A60" w:rsidRDefault="00F85E4C">
      <w:pPr>
        <w:spacing w:before="80" w:after="0"/>
        <w:jc w:val="center"/>
      </w:pPr>
      <w:r>
        <w:rPr>
          <w:b/>
          <w:color w:val="000000"/>
        </w:rPr>
        <w:t>w sprawie wprowadzenia opłaty targowej i określenia zasad ustalania i poboru oraz terminów płatności, wysokości stawek opłaty i zarządzenia jej poboru w drodze inkasa</w:t>
      </w:r>
    </w:p>
    <w:p w:rsidR="00051A60" w:rsidRDefault="00F85E4C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8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 samorządzie gminnym (Dz. U. z 2013 r. poz. 594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i </w:t>
      </w:r>
      <w:r>
        <w:rPr>
          <w:color w:val="1B1B1B"/>
        </w:rPr>
        <w:t>art. 19 pkt 1</w:t>
      </w:r>
      <w:r>
        <w:rPr>
          <w:color w:val="000000"/>
        </w:rPr>
        <w:t xml:space="preserve"> i </w:t>
      </w:r>
      <w:r>
        <w:rPr>
          <w:color w:val="1B1B1B"/>
        </w:rPr>
        <w:t>pkt 2</w:t>
      </w:r>
      <w:r>
        <w:rPr>
          <w:color w:val="000000"/>
        </w:rPr>
        <w:t xml:space="preserve"> w związku z </w:t>
      </w:r>
      <w:r>
        <w:rPr>
          <w:color w:val="1B1B1B"/>
        </w:rPr>
        <w:t>art. 15 ust. 1</w:t>
      </w:r>
      <w:r>
        <w:rPr>
          <w:color w:val="000000"/>
        </w:rPr>
        <w:t xml:space="preserve"> ustawy z dnia 12 stycznia 1991 r. o podatkach i opłatach lokalnych (Dz. U. z 2014 r. poz. 849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- Rada Gminy Markuszów uchwala, co następuje:</w:t>
      </w:r>
    </w:p>
    <w:p w:rsidR="00051A60" w:rsidRDefault="00F85E4C">
      <w:pPr>
        <w:spacing w:before="26" w:after="0"/>
      </w:pPr>
      <w:r>
        <w:rPr>
          <w:b/>
          <w:color w:val="000000"/>
        </w:rPr>
        <w:t>§  1. </w:t>
      </w:r>
    </w:p>
    <w:p w:rsidR="00051A60" w:rsidRDefault="00F85E4C">
      <w:pPr>
        <w:spacing w:before="26" w:after="0"/>
      </w:pPr>
      <w:r>
        <w:rPr>
          <w:color w:val="000000"/>
        </w:rPr>
        <w:t>1. Wprowadza się opłatę targową w dziennych stawkach na terenie gminy Markuszów, zgodnie z załącznikiem nr 1 do niniejszej uchwały.</w:t>
      </w:r>
    </w:p>
    <w:p w:rsidR="00051A60" w:rsidRDefault="00F85E4C">
      <w:pPr>
        <w:spacing w:before="26" w:after="0"/>
      </w:pPr>
      <w:r>
        <w:rPr>
          <w:color w:val="000000"/>
        </w:rPr>
        <w:t>2. Stawka dzienna opłaty targowej nie może przekraczać kwoty ustawowej.</w:t>
      </w:r>
    </w:p>
    <w:p w:rsidR="00051A60" w:rsidRDefault="00F85E4C">
      <w:pPr>
        <w:spacing w:before="26" w:after="0"/>
      </w:pPr>
      <w:r>
        <w:rPr>
          <w:b/>
          <w:color w:val="000000"/>
        </w:rPr>
        <w:t>§  2. </w:t>
      </w:r>
    </w:p>
    <w:p w:rsidR="00051A60" w:rsidRDefault="00F85E4C">
      <w:pPr>
        <w:spacing w:before="26" w:after="0"/>
      </w:pPr>
      <w:r>
        <w:rPr>
          <w:color w:val="000000"/>
        </w:rPr>
        <w:t>1. Opłata targowa płatna jest bez wezwania u inkasenta.</w:t>
      </w:r>
    </w:p>
    <w:p w:rsidR="00051A60" w:rsidRDefault="00F85E4C">
      <w:pPr>
        <w:spacing w:before="26" w:after="0"/>
      </w:pPr>
      <w:r>
        <w:rPr>
          <w:color w:val="000000"/>
        </w:rPr>
        <w:t>2. Określa się termin płatności opłaty na dzień dokonywania sprzedaży.</w:t>
      </w:r>
    </w:p>
    <w:p w:rsidR="00051A60" w:rsidRDefault="00F85E4C">
      <w:pPr>
        <w:spacing w:before="26" w:after="0"/>
      </w:pPr>
      <w:r>
        <w:rPr>
          <w:b/>
          <w:color w:val="000000"/>
        </w:rPr>
        <w:t>§  3. </w:t>
      </w:r>
    </w:p>
    <w:p w:rsidR="00051A60" w:rsidRDefault="00F85E4C">
      <w:pPr>
        <w:spacing w:before="26" w:after="0"/>
      </w:pPr>
      <w:r>
        <w:rPr>
          <w:color w:val="000000"/>
        </w:rPr>
        <w:t>1. Zarządza się pobór opłaty targowej w drodze inkasa.</w:t>
      </w:r>
    </w:p>
    <w:p w:rsidR="00051A60" w:rsidRDefault="00F85E4C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 Na inkasentów wyznacza się:</w:t>
      </w:r>
    </w:p>
    <w:p w:rsidR="00051A60" w:rsidRDefault="00F85E4C">
      <w:pPr>
        <w:spacing w:before="26" w:after="0"/>
        <w:ind w:left="373"/>
      </w:pPr>
      <w:r>
        <w:rPr>
          <w:color w:val="000000"/>
        </w:rPr>
        <w:t>1) Alina Smolak,</w:t>
      </w:r>
    </w:p>
    <w:p w:rsidR="00051A60" w:rsidRDefault="00F85E4C">
      <w:pPr>
        <w:spacing w:before="26" w:after="0"/>
        <w:ind w:left="373"/>
      </w:pPr>
      <w:r>
        <w:rPr>
          <w:color w:val="000000"/>
        </w:rPr>
        <w:t>2) Patrycja Kuś,</w:t>
      </w:r>
    </w:p>
    <w:p w:rsidR="00051A60" w:rsidRDefault="00F85E4C">
      <w:pPr>
        <w:spacing w:before="26" w:after="0"/>
        <w:ind w:left="373"/>
      </w:pPr>
      <w:r>
        <w:rPr>
          <w:color w:val="000000"/>
        </w:rPr>
        <w:t>3) Teresa Rodzik.</w:t>
      </w:r>
    </w:p>
    <w:p w:rsidR="00051A60" w:rsidRDefault="00F85E4C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Ustala się wynagrodzenie miesięczne za inkaso dla każdego inkasenta w wysokości 21% opłat </w:t>
      </w:r>
      <w:r>
        <w:rPr>
          <w:color w:val="000000"/>
        </w:rPr>
        <w:t>targowych pobranych przez inkasentów w danym miesiącu podzielonych przez liczbę inkasentów, którzy w danym miesiącu dokonują poboru opłaty targowej w drodze inkasa.</w:t>
      </w:r>
    </w:p>
    <w:p w:rsidR="00051A60" w:rsidRDefault="00F85E4C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Uchwała podlega ogłoszeniu w Dz. Urz. Woj. Lubelskiego.</w:t>
      </w:r>
    </w:p>
    <w:p w:rsidR="00051A60" w:rsidRDefault="00F85E4C">
      <w:pPr>
        <w:spacing w:before="26" w:after="240"/>
      </w:pPr>
      <w:r>
        <w:rPr>
          <w:b/>
          <w:color w:val="000000"/>
        </w:rPr>
        <w:lastRenderedPageBreak/>
        <w:t>§  5. </w:t>
      </w:r>
      <w:r>
        <w:rPr>
          <w:color w:val="000000"/>
        </w:rPr>
        <w:t>Wykonanie uchwały powierza się Wójtowi Gminy Markuszów.</w:t>
      </w:r>
    </w:p>
    <w:p w:rsidR="00051A60" w:rsidRDefault="00F85E4C">
      <w:pPr>
        <w:spacing w:before="26" w:after="240"/>
      </w:pPr>
      <w:r>
        <w:rPr>
          <w:b/>
          <w:color w:val="000000"/>
        </w:rPr>
        <w:t>§  6. 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XI/61/12 Rady Gminy Markuszów z dnia 23 lutego 2012 r. w sprawie określenia zasad poboru oraz terminu płatności i wysokości dziennych stawek opłaty targowej na terenie gminy Markuszów (Dz. Urz. Woj. Lubelskiego poz. 1280).</w:t>
      </w:r>
    </w:p>
    <w:p w:rsidR="00051A60" w:rsidRDefault="00F85E4C">
      <w:pPr>
        <w:spacing w:before="26" w:after="240"/>
      </w:pPr>
      <w:r>
        <w:rPr>
          <w:b/>
          <w:color w:val="000000"/>
        </w:rPr>
        <w:t>§  7. </w:t>
      </w:r>
      <w:r>
        <w:rPr>
          <w:color w:val="000000"/>
        </w:rPr>
        <w:t>Uchwała wchodzi w życie po upływie 14 dni od dnia ogłoszenia, nie wcześniej jednak niż z dniem 1 stycznia 2016 r.</w:t>
      </w:r>
    </w:p>
    <w:p w:rsidR="00051A60" w:rsidRDefault="00051A60">
      <w:pPr>
        <w:spacing w:after="0"/>
      </w:pPr>
    </w:p>
    <w:p w:rsidR="00051A60" w:rsidRDefault="00F85E4C">
      <w:pPr>
        <w:spacing w:before="89" w:after="0"/>
        <w:jc w:val="center"/>
      </w:pPr>
      <w:r>
        <w:rPr>
          <w:b/>
          <w:color w:val="000000"/>
        </w:rPr>
        <w:t>ZAŁĄCZNIK</w:t>
      </w:r>
    </w:p>
    <w:p w:rsidR="00051A60" w:rsidRDefault="00F85E4C">
      <w:pPr>
        <w:spacing w:before="25" w:after="0"/>
        <w:jc w:val="center"/>
      </w:pPr>
      <w:r>
        <w:rPr>
          <w:b/>
          <w:color w:val="000000"/>
        </w:rPr>
        <w:t>Dzienne stawki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1"/>
        <w:gridCol w:w="5850"/>
        <w:gridCol w:w="2411"/>
      </w:tblGrid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Lp.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Formy sprzedaży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Stawka opłaty targowej w zł.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zwierzęta - zwierzęta </w:t>
            </w:r>
            <w:r>
              <w:rPr>
                <w:b/>
                <w:color w:val="000000"/>
              </w:rPr>
              <w:t>gospodarcze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12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trzoda chlewna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8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ptactwo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12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Płody rolne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zboże i inne płody rolne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7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owoce i warzywa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7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Materiał szkółkarski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12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Rozsada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15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Nasiona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10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Mięso, wędliny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30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Meble samochód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30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przyczepa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15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Art. </w:t>
            </w:r>
            <w:r>
              <w:rPr>
                <w:b/>
                <w:color w:val="000000"/>
              </w:rPr>
              <w:t>Spożywcze, przemysłowe, gospodarstwo domowe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 xml:space="preserve">- stragan za każdy 1 </w:t>
            </w:r>
            <w:proofErr w:type="spellStart"/>
            <w:r>
              <w:rPr>
                <w:color w:val="000000"/>
              </w:rPr>
              <w:t>mb</w:t>
            </w:r>
            <w:proofErr w:type="spellEnd"/>
            <w:r>
              <w:rPr>
                <w:color w:val="000000"/>
              </w:rPr>
              <w:t>. długości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stół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6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samochód osobowy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8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samochód dostawczy lub ciągnik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10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>- samochód ciężarowy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22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Sprzedaż "z ręki" do 2 </w:t>
            </w:r>
            <w:proofErr w:type="spellStart"/>
            <w:r>
              <w:rPr>
                <w:b/>
                <w:color w:val="000000"/>
              </w:rPr>
              <w:t>mb</w:t>
            </w:r>
            <w:proofErr w:type="spellEnd"/>
            <w:r>
              <w:rPr>
                <w:b/>
                <w:color w:val="000000"/>
              </w:rPr>
              <w:t xml:space="preserve"> placu zajętego pod towar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2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 xml:space="preserve">- od 2 do 4 </w:t>
            </w:r>
            <w:proofErr w:type="spellStart"/>
            <w:r>
              <w:rPr>
                <w:color w:val="000000"/>
              </w:rPr>
              <w:t>mb</w:t>
            </w:r>
            <w:proofErr w:type="spellEnd"/>
            <w:r>
              <w:rPr>
                <w:color w:val="000000"/>
              </w:rPr>
              <w:t>. placu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 xml:space="preserve">- powyżej 4 do 6 </w:t>
            </w:r>
            <w:proofErr w:type="spellStart"/>
            <w:r>
              <w:rPr>
                <w:color w:val="000000"/>
              </w:rPr>
              <w:t>mb</w:t>
            </w:r>
            <w:proofErr w:type="spellEnd"/>
            <w:r>
              <w:rPr>
                <w:color w:val="000000"/>
              </w:rPr>
              <w:t>. placu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5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051A60"/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color w:val="000000"/>
              </w:rPr>
              <w:t xml:space="preserve">- za każdy następny 1 </w:t>
            </w:r>
            <w:proofErr w:type="spellStart"/>
            <w:r>
              <w:rPr>
                <w:color w:val="000000"/>
              </w:rPr>
              <w:t>mb</w:t>
            </w:r>
            <w:proofErr w:type="spellEnd"/>
            <w:r>
              <w:rPr>
                <w:color w:val="000000"/>
              </w:rPr>
              <w:t>. dopłata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Sprzedaż obwoźna - wózek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8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Gastronomia - minibar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30</w:t>
            </w:r>
          </w:p>
        </w:tc>
      </w:tr>
      <w:tr w:rsidR="00051A60">
        <w:trPr>
          <w:trHeight w:val="45"/>
          <w:tblCellSpacing w:w="0" w:type="auto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98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Targowisko drobnego inwentarza i ptactwa - za wjazd sprzedającego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A60" w:rsidRDefault="00F85E4C">
            <w:pPr>
              <w:spacing w:after="0"/>
              <w:jc w:val="both"/>
            </w:pPr>
            <w:r>
              <w:rPr>
                <w:b/>
                <w:color w:val="000000"/>
              </w:rPr>
              <w:t>3</w:t>
            </w:r>
          </w:p>
        </w:tc>
      </w:tr>
    </w:tbl>
    <w:p w:rsidR="00051A60" w:rsidRDefault="00F85E4C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§ 3 ust. 2 zmieniony przez § 1 </w:t>
      </w:r>
      <w:r>
        <w:rPr>
          <w:color w:val="000000"/>
        </w:rPr>
        <w:t>uchwały nr XXXVII/209/2023 z dnia 29 marca 2023 r. (Lubel.2023.2491) zmieniającej nin. uchwałę z dniem 20 kwietnia 2023 r.</w:t>
      </w:r>
    </w:p>
    <w:p w:rsidR="00051A60" w:rsidRDefault="00F85E4C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§ 3 ust. 3:- zmieniony przez § 1 pkt 2 uchwały nr XIII/73/2020 z dnia 2 lipca 2020 r. (Lubel.20.3840) zmieniającej nin. uchwałę z dniem 29 lipca 2020 r.- zmieniony przez § 1 uchwały nr XXIV/139/2022 z dnia 27 stycznia 2022 r. (Lubel.22.670) zmieniającej nin. uchwałę z dniem 22 lutego 2022 r.</w:t>
      </w:r>
    </w:p>
    <w:sectPr w:rsidR="00051A6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45725"/>
    <w:multiLevelType w:val="multilevel"/>
    <w:tmpl w:val="F1446D4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3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60"/>
    <w:rsid w:val="00051A60"/>
    <w:rsid w:val="00B73431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49490-D298-41DB-B49C-185CEBE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 Markuszów</dc:creator>
  <cp:lastModifiedBy>Sekretarz Gminy Markuszów</cp:lastModifiedBy>
  <cp:revision>2</cp:revision>
  <dcterms:created xsi:type="dcterms:W3CDTF">2024-07-18T08:08:00Z</dcterms:created>
  <dcterms:modified xsi:type="dcterms:W3CDTF">2024-07-18T08:08:00Z</dcterms:modified>
</cp:coreProperties>
</file>