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B1A1" w14:textId="492C2D31" w:rsidR="00045287" w:rsidRPr="00045287" w:rsidRDefault="00045287" w:rsidP="00045287">
      <w:pPr>
        <w:spacing w:after="0" w:line="360" w:lineRule="auto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    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>Załącznik do</w:t>
      </w:r>
      <w:r w:rsidRPr="00045287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</w:t>
      </w:r>
      <w:r w:rsidR="0047214F">
        <w:rPr>
          <w:rFonts w:ascii="Times New Roman" w:eastAsia="Calibri" w:hAnsi="Times New Roman" w:cs="Times New Roman"/>
          <w:i/>
          <w:iCs/>
          <w:lang w:eastAsia="pl-PL"/>
        </w:rPr>
        <w:t>Uchwały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 Nr </w:t>
      </w:r>
      <w:r w:rsidR="0014532E">
        <w:rPr>
          <w:rFonts w:ascii="Times New Roman" w:eastAsia="Calibri" w:hAnsi="Times New Roman" w:cs="Times New Roman"/>
          <w:i/>
          <w:iCs/>
          <w:lang w:eastAsia="pl-PL"/>
        </w:rPr>
        <w:t>155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>/202</w:t>
      </w:r>
      <w:r w:rsidR="00650EDF">
        <w:rPr>
          <w:rFonts w:ascii="Times New Roman" w:eastAsia="Calibri" w:hAnsi="Times New Roman" w:cs="Times New Roman"/>
          <w:i/>
          <w:iCs/>
          <w:lang w:eastAsia="pl-PL"/>
        </w:rPr>
        <w:t>5</w:t>
      </w:r>
    </w:p>
    <w:p w14:paraId="2A3CD173" w14:textId="0F740788" w:rsidR="00045287" w:rsidRPr="00045287" w:rsidRDefault="00045287" w:rsidP="00045287">
      <w:pPr>
        <w:spacing w:after="0" w:line="360" w:lineRule="auto"/>
        <w:rPr>
          <w:rFonts w:ascii="Times New Roman" w:eastAsia="Calibri" w:hAnsi="Times New Roman" w:cs="Times New Roman"/>
          <w:i/>
          <w:iCs/>
          <w:lang w:eastAsia="pl-PL"/>
        </w:rPr>
      </w:pP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>
        <w:rPr>
          <w:rFonts w:ascii="Times New Roman" w:eastAsia="Calibri" w:hAnsi="Times New Roman" w:cs="Times New Roman"/>
          <w:i/>
          <w:iCs/>
          <w:lang w:eastAsia="pl-PL"/>
        </w:rPr>
        <w:t xml:space="preserve">        </w:t>
      </w:r>
      <w:r w:rsidR="0047214F">
        <w:rPr>
          <w:rFonts w:ascii="Times New Roman" w:eastAsia="Calibri" w:hAnsi="Times New Roman" w:cs="Times New Roman"/>
          <w:i/>
          <w:iCs/>
          <w:lang w:eastAsia="pl-PL"/>
        </w:rPr>
        <w:t>Zarządu Powiatu Drawskiego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14:paraId="0D9032EE" w14:textId="2321EF71" w:rsidR="00045287" w:rsidRPr="00045287" w:rsidRDefault="00045287" w:rsidP="00045287">
      <w:pPr>
        <w:spacing w:after="0" w:line="360" w:lineRule="auto"/>
        <w:ind w:left="4248" w:firstLine="708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 xml:space="preserve">        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z dnia </w:t>
      </w:r>
      <w:r w:rsidR="0014532E">
        <w:rPr>
          <w:rFonts w:ascii="Times New Roman" w:eastAsia="Calibri" w:hAnsi="Times New Roman" w:cs="Times New Roman"/>
          <w:i/>
          <w:iCs/>
          <w:lang w:eastAsia="pl-PL"/>
        </w:rPr>
        <w:t xml:space="preserve">08 kwietnia </w:t>
      </w:r>
      <w:r w:rsidR="00C46BFA">
        <w:rPr>
          <w:rFonts w:ascii="Times New Roman" w:eastAsia="Calibri" w:hAnsi="Times New Roman" w:cs="Times New Roman"/>
          <w:i/>
          <w:iCs/>
          <w:lang w:eastAsia="pl-PL"/>
        </w:rPr>
        <w:t>202</w:t>
      </w:r>
      <w:r w:rsidR="00650EDF">
        <w:rPr>
          <w:rFonts w:ascii="Times New Roman" w:eastAsia="Calibri" w:hAnsi="Times New Roman" w:cs="Times New Roman"/>
          <w:i/>
          <w:iCs/>
          <w:lang w:eastAsia="pl-PL"/>
        </w:rPr>
        <w:t>5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 r. </w:t>
      </w:r>
    </w:p>
    <w:p w14:paraId="6A4D342A" w14:textId="13DCFF70" w:rsidR="00045287" w:rsidRDefault="00045287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0401533" w14:textId="77777777" w:rsidR="00045287" w:rsidRDefault="00045287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3048581" w14:textId="68E472E5" w:rsidR="001D2B0C" w:rsidRPr="00286265" w:rsidRDefault="00DE7097" w:rsidP="001105A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28626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PROCEDURA</w:t>
      </w:r>
      <w:r w:rsidR="001D2B0C" w:rsidRPr="0028626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 xml:space="preserve"> ZGŁOSZEŃ </w:t>
      </w:r>
      <w:r w:rsidR="0047214F" w:rsidRPr="0028626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Z</w:t>
      </w:r>
      <w:r w:rsidR="001D2B0C" w:rsidRPr="0028626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EWNĘTRZNYCH</w:t>
      </w:r>
    </w:p>
    <w:p w14:paraId="56519C10" w14:textId="398B7991" w:rsidR="00045287" w:rsidRDefault="00286265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28626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ORAZ PODEJMOWANIA DZIAŁAŃ NASTĘPCZYCH</w:t>
      </w:r>
    </w:p>
    <w:p w14:paraId="629907C5" w14:textId="77777777" w:rsidR="0034145B" w:rsidRPr="00286265" w:rsidRDefault="0034145B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24F663C7" w14:textId="546CD1D5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1</w:t>
      </w:r>
    </w:p>
    <w:p w14:paraId="361E976E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Ilekroć w niniejszym dokumencie jest mowa o:</w:t>
      </w:r>
    </w:p>
    <w:p w14:paraId="4EA42BC7" w14:textId="5F4E4DAF" w:rsidR="001D2B0C" w:rsidRDefault="0047214F" w:rsidP="001D2B0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organie</w:t>
      </w:r>
      <w:r w:rsidR="001D2B0C" w:rsidRPr="001D2B0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rozumie się przez to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Zarząd Powiatu Drawskiego,</w:t>
      </w:r>
    </w:p>
    <w:p w14:paraId="7890D8F5" w14:textId="2A035B8E" w:rsidR="00EB5237" w:rsidRDefault="00EB5237" w:rsidP="001D2B0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starostwie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 Starostwo Powiatowe w Drawsku Pomorskim,</w:t>
      </w:r>
    </w:p>
    <w:p w14:paraId="2A441BA6" w14:textId="19A7A411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ygnaliście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osobę fizyczną, która zgłasza informację o naruszeniu prawa uzyskaną w kontekście związanym z pracą, w tym m.in.: pracownika, osobę świadczącą pracę na innej podstawie niż stosunek pracy, w tym na podstawie umowy cywilnoprawnej, stażystę, praktykanta, wolontariusza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osobę, która informację 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aruszeniu prawa uzyskała w kontekście związanym z pracą przed nawiązaniem stosunku pracy lub innego stosunku prawnego stanowiącego podstawę świadczenia pracy lub usług lub pełnienia funkcji w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tarostwie lub na rzecz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tarostwa lub już po ich ustaniu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0187E90A" w14:textId="11645BD1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n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aruszeniu prawa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 działanie lub zaniechanie niezgodne z prawem lub mające na celu obejście prawa, dotyczące m.in.: korupcji, zamówień publicznych, usług, produktów i rynków finansowych, przeciwdziałaniu praniu pieniędzy oraz finansowaniu terroryzmu, bezpieczeństwa transportu, ochrony środowiska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9B519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bezpieczeństwa sieci </w:t>
      </w:r>
      <w:r w:rsidR="00EB523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9B519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 systemów teleinformatycznych, ochrony konsumentów,</w:t>
      </w:r>
    </w:p>
    <w:p w14:paraId="571229FD" w14:textId="3EEA903F" w:rsidR="001B3C6B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 w:rsidR="001B3C6B" w:rsidRPr="00DE709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głoszeniu</w:t>
      </w:r>
      <w:r w:rsidR="001B3C6B" w:rsidRPr="00DE709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rozumie się przez to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przekazanie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trybie określonym w niniejsz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rocedurze,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informacji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aruszeniu prawa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6ED29412" w14:textId="52231B38" w:rsidR="001E74AC" w:rsidRDefault="001E74AC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Komisji Wyjaśniającej/komisji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rozumie się przez to wewnętrzną komisję powołaną </w:t>
      </w:r>
      <w:r w:rsidR="00EB523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kompleksowego wyjaśnienia okoliczności opisanych w zgłoszeniu,</w:t>
      </w:r>
    </w:p>
    <w:p w14:paraId="057D23B5" w14:textId="44659D0F" w:rsidR="001B3C6B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ziałani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u 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następcz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ym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 działani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podjęte w celu oceny prawdziwości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informacji zawartych w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głoszeniu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celu przeciwdziałania naruszeniu prawa będącemu przedmiotem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D06E41E" w14:textId="2F2D28CF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ziałaniach odwetowych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bezpośrednie lub pośrednie działanie lub zaniechanie w kontekście związanym z pracą, które jest spowodowane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głoszeniem i które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 xml:space="preserve">narusza lub może naruszać prawa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ygnalisty lub wyrządza lub może wyrządzić nieuzasadnioną szkodę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64C5B356" w14:textId="63E3BB12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nformacji zwrotnej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przekazanie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informacji na temat planowanych lub podjętych działaniach następczych i powodów takich działań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1D805A05" w14:textId="5C0804D3" w:rsidR="001D2B0C" w:rsidRPr="001B3C6B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k</w:t>
      </w:r>
      <w:r w:rsidR="001D2B0C" w:rsidRP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ontekście związanym z pracą</w:t>
      </w:r>
      <w:r w:rsidR="001D2B0C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</w:t>
      </w:r>
      <w:r w:rsidR="00DA4885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przeszłe, obecne lub przyszłe działania związane z wykonywaniem pracy lub 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świadczeniem </w:t>
      </w:r>
      <w:r w:rsidR="00700B82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usług lub </w:t>
      </w:r>
      <w:r w:rsidR="00DA4885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pełnienia funkcji, w ramach których uzyskano informację o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DA4885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aruszeniu prawa oraz istnieje możliwość doświadczenia działań odwetowych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5CF43B4C" w14:textId="0C1B5D52" w:rsidR="00A5554D" w:rsidRPr="003037AB" w:rsidRDefault="00074E33" w:rsidP="003037A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p</w:t>
      </w:r>
      <w:r w:rsidR="00DA48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rocedurze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niniejsz</w:t>
      </w:r>
      <w:r w:rsidR="00DA488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ą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A4885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Procedurę</w:t>
      </w:r>
      <w:r w:rsidR="001D2B0C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</w:t>
      </w:r>
      <w:r w:rsidR="004721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ewnętrznych</w:t>
      </w:r>
      <w:r w:rsidR="004721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286265" w:rsidRPr="0028626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oraz podejmowania działań następczych</w:t>
      </w:r>
      <w:r w:rsidR="003037A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157960A2" w14:textId="77777777" w:rsidR="001B3C6B" w:rsidRPr="001B3C6B" w:rsidRDefault="001B3C6B" w:rsidP="001B3C6B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2F5D0E6A" w14:textId="6DBACACB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2</w:t>
      </w:r>
    </w:p>
    <w:p w14:paraId="3108072F" w14:textId="140C0330" w:rsidR="00045287" w:rsidRPr="00854C58" w:rsidRDefault="004A2111" w:rsidP="00854C5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elem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rocedury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jest utworzenie systemu informowania o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ach</w:t>
      </w:r>
      <w:r w:rsidR="00FB5E2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poprzez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wskazanie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bezpiecznych kanałów zgłoszeniowych zapobiegających podejmowaniu jakichkolwiek działań odwetowych wobec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ygnalisty.</w:t>
      </w:r>
    </w:p>
    <w:p w14:paraId="44DEAD31" w14:textId="77777777" w:rsidR="00520213" w:rsidRDefault="00520213" w:rsidP="00177C21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9515E38" w14:textId="77777777" w:rsidR="00854C58" w:rsidRPr="001D2B0C" w:rsidRDefault="00854C58" w:rsidP="00854C5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3</w:t>
      </w:r>
    </w:p>
    <w:p w14:paraId="619847DC" w14:textId="512BB622" w:rsidR="00854C58" w:rsidRPr="001D2B0C" w:rsidRDefault="00854C58" w:rsidP="00854C5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Osobą odpowiedzialną za przyjmowanie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głoszeń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E22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ewnętrznych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E22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skierowanych do organu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jest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Powiatowy Rzecznik Konsumentów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osobą zastępującą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Sekretarz Powiatu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2A09A1A2" w14:textId="675A00C5" w:rsidR="00854C58" w:rsidRPr="001D2B0C" w:rsidRDefault="00854C58" w:rsidP="00854C5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 rozpatrywania </w:t>
      </w:r>
      <w:r w:rsidR="005E22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ustanawia się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Komisję Wyjaśniającą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w składzie:</w:t>
      </w:r>
    </w:p>
    <w:p w14:paraId="4E8A8E1B" w14:textId="77777777" w:rsidR="00854C58" w:rsidRPr="001D2B0C" w:rsidRDefault="00854C58" w:rsidP="00854C5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- Sekretarz Powiatu Drawskiego,</w:t>
      </w:r>
    </w:p>
    <w:p w14:paraId="347A7BE0" w14:textId="0FEF2A93" w:rsidR="00854C58" w:rsidRPr="001D2B0C" w:rsidRDefault="00854C58" w:rsidP="00854C5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- Naczelnik Wydziału Organizacyjnego</w:t>
      </w:r>
      <w:r w:rsidR="00A71CE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Starostwa Powiatowego w Drawsku Pomorskim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59EF0096" w14:textId="77777777" w:rsidR="00854C58" w:rsidRPr="001D2B0C" w:rsidRDefault="00854C58" w:rsidP="00854C5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- Powiatowy Rzecznik Konsumentów. </w:t>
      </w:r>
    </w:p>
    <w:p w14:paraId="09D2487F" w14:textId="4EF222B1" w:rsidR="00854C58" w:rsidRPr="00173F03" w:rsidRDefault="00854C58" w:rsidP="00173F0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3. W przypadku, gdy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głoszenie dotyczy osoby będącej członkiem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omisji, osoba ta  automatycznie wyłączana jest z prac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omisji, </w:t>
      </w:r>
      <w:r w:rsidRP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 w jej miejsce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96BB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organ</w:t>
      </w:r>
      <w:r w:rsidRP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może powołać innego pracownika </w:t>
      </w:r>
      <w:r w:rsidR="00E96BBA" w:rsidRPr="00EB523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pl-PL"/>
        </w:rPr>
        <w:t>starostwa.</w:t>
      </w:r>
    </w:p>
    <w:p w14:paraId="570942B8" w14:textId="77777777" w:rsidR="00854C58" w:rsidRDefault="00854C58" w:rsidP="00177C21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DE58D91" w14:textId="31F78C32" w:rsidR="001D2B0C" w:rsidRPr="00801A26" w:rsidRDefault="001D2B0C" w:rsidP="00801A2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603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4</w:t>
      </w:r>
    </w:p>
    <w:p w14:paraId="0A74B551" w14:textId="111DA65C" w:rsidR="001D2B0C" w:rsidRPr="001D2B0C" w:rsidRDefault="009D6EE6" w:rsidP="001D2B0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Zgłoszenie </w:t>
      </w:r>
      <w:r w:rsidR="00D7151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moż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 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być dokonane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:</w:t>
      </w:r>
    </w:p>
    <w:p w14:paraId="0DE8C2D5" w14:textId="62D14A20" w:rsidR="001D2B0C" w:rsidRPr="008603F6" w:rsidRDefault="008603F6" w:rsidP="008603F6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pisemnie: w postaci elektronicznej za pośrednictwem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poczt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elektroniczn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 adres </w:t>
      </w:r>
      <w:hyperlink r:id="rId8" w:history="1">
        <w:r w:rsidR="00FB3875" w:rsidRPr="00F56CD7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  <w:lang w:eastAsia="pl-PL"/>
          </w:rPr>
          <w:t>sygnalista.zarzad@powiatdrawski.pl</w:t>
        </w:r>
      </w:hyperlink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albo w postaci papierowej </w:t>
      </w:r>
      <w:r w:rsidR="001D2B0C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 pośrednictwem poczty tradycyjnej przesłanej w zamkniętej kopercie na adres</w:t>
      </w:r>
      <w:r w:rsidR="00FB3875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: Zarząd Powiatu Drawskiego</w:t>
      </w:r>
      <w:r w:rsidR="007401A1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Pl. Elizy Orzeszkowej 3, 78-500 Drawsko Pomorskie</w:t>
      </w:r>
      <w:r w:rsidR="00FB3875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1D2B0C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E7F31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1D2B0C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>z dopiskiem „</w:t>
      </w:r>
      <w:r w:rsidR="00FB3875" w:rsidRPr="008603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Sygnalista -</w:t>
      </w:r>
      <w:r w:rsidR="00FB3875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B3875" w:rsidRPr="008603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 w:rsidR="001D2B0C" w:rsidRPr="008603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głoszenie </w:t>
      </w:r>
      <w:r w:rsidR="00FB3875" w:rsidRPr="008603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zewnętrzne </w:t>
      </w:r>
      <w:r w:rsidR="004B5E9C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-</w:t>
      </w:r>
      <w:r w:rsidR="001D2B0C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do rąk własnych osoby przyjmującej </w:t>
      </w:r>
      <w:r w:rsidR="005570FA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głoszenie”,</w:t>
      </w:r>
    </w:p>
    <w:p w14:paraId="68CE73D2" w14:textId="1E79A9C0" w:rsidR="007C2187" w:rsidRDefault="001D2B0C" w:rsidP="00FB5E28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ustnie u </w:t>
      </w:r>
      <w:r w:rsidR="008603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osoby odpowiedzialnej za przyjmowanie zgłoszeń, o której mowa w § 3 ust. 1, podczas spotkania zorganizowanego w terminie 14 dni od dnia otrzymania takiego wniosku.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takim przypadku, za zgodą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ygnalisty,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głoszenie jest dokumentowane </w:t>
      </w:r>
      <w:r w:rsidR="004C3CD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formie nagrania rozmowy lub protokołu spotkania, odtwarzającego jego dokładny przebieg. </w:t>
      </w:r>
    </w:p>
    <w:p w14:paraId="147DA7D8" w14:textId="22D202E9" w:rsidR="002F0C33" w:rsidRDefault="002F0C33" w:rsidP="002F0C3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przypadku, o którym mowa w ust. 1 pkt </w:t>
      </w:r>
      <w:r w:rsidR="008603F6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ygnalista może dokonać sprawdzenia, poprawienia i zatwierdzenia protokołu </w:t>
      </w:r>
      <w:r w:rsidR="008603F6">
        <w:rPr>
          <w:rFonts w:ascii="Times New Roman" w:hAnsi="Times New Roman" w:cs="Times New Roman"/>
          <w:i/>
          <w:iCs/>
          <w:sz w:val="24"/>
          <w:szCs w:val="24"/>
        </w:rPr>
        <w:t>rozmowy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przez jego podpisanie.</w:t>
      </w:r>
    </w:p>
    <w:p w14:paraId="32FEB9F4" w14:textId="4500D70F" w:rsidR="001D2B0C" w:rsidRDefault="005E01E9" w:rsidP="005E01E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1E9">
        <w:rPr>
          <w:rFonts w:ascii="Times New Roman" w:hAnsi="Times New Roman" w:cs="Times New Roman"/>
          <w:i/>
          <w:iCs/>
          <w:sz w:val="24"/>
          <w:szCs w:val="24"/>
        </w:rPr>
        <w:t>Zgłoszenie powinn</w:t>
      </w:r>
      <w:r w:rsidR="00232DD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E01E9">
        <w:rPr>
          <w:rFonts w:ascii="Times New Roman" w:hAnsi="Times New Roman" w:cs="Times New Roman"/>
          <w:i/>
          <w:iCs/>
          <w:sz w:val="24"/>
          <w:szCs w:val="24"/>
        </w:rPr>
        <w:t xml:space="preserve"> zawierać co najmniej następujące informacje:</w:t>
      </w:r>
    </w:p>
    <w:p w14:paraId="628A1ACC" w14:textId="03A8238F" w:rsidR="005E01E9" w:rsidRDefault="005E01E9" w:rsidP="005E01E9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szczegółowy opis zgłaszanego naruszenia prawa, w tym kiedy, gdzie, w jaki sposób doszło do naruszenia;</w:t>
      </w:r>
    </w:p>
    <w:p w14:paraId="1DE0E222" w14:textId="4C2CA01F" w:rsidR="005E01E9" w:rsidRDefault="005E01E9" w:rsidP="005E01E9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wskazanie osoby, która dokonała lub zamierza dokonać naruszenia prawa,</w:t>
      </w:r>
    </w:p>
    <w:p w14:paraId="284792F3" w14:textId="6B8B0353" w:rsidR="005E01E9" w:rsidRDefault="005E01E9" w:rsidP="005E01E9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dowody na poparcie zgłoszenia,</w:t>
      </w:r>
    </w:p>
    <w:p w14:paraId="077169F3" w14:textId="707638B4" w:rsidR="005E01E9" w:rsidRDefault="005E01E9" w:rsidP="005E01E9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dane umożliwiające kontakt, jeżeli sygnalista chce otrzymać informację zwrotną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w związku z dokonanym zgłoszeniem, a także w celu uzyskania informacji o ostatecznym wyniku postępowania wyjaśniającego wszczętego w związku z dokonanym zgłoszeniem.</w:t>
      </w:r>
    </w:p>
    <w:p w14:paraId="2102981B" w14:textId="72443EB5" w:rsidR="0044329B" w:rsidRPr="0044329B" w:rsidRDefault="0044329B" w:rsidP="0044329B">
      <w:pPr>
        <w:pStyle w:val="Akapitzlist"/>
        <w:numPr>
          <w:ilvl w:val="0"/>
          <w:numId w:val="46"/>
        </w:numPr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celu sprawnego rozpatrywania zgłoszeń zaleca się, aby zgłoszenia dokonywane były na formularzu stanowiącym załącznik do niniejszej procedury – </w:t>
      </w:r>
      <w:r w:rsidRPr="004C3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zgłoszenia zewnętrznego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Formularz ten jest dostępny na stronie internetowej </w:t>
      </w:r>
      <w:r w:rsidR="0034145B" w:rsidRPr="00341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starostwa: www.powiatdrawski.pl,</w:t>
      </w:r>
      <w:r w:rsidR="00EB52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 zakładce Inf</w:t>
      </w:r>
      <w:r w:rsidR="009D3D6C"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z w:val="24"/>
          <w:szCs w:val="24"/>
        </w:rPr>
        <w:t>mator.</w:t>
      </w:r>
    </w:p>
    <w:p w14:paraId="362B41A0" w14:textId="3F319C26" w:rsidR="0044329B" w:rsidRPr="0044329B" w:rsidRDefault="0044329B" w:rsidP="0044329B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5</w:t>
      </w:r>
    </w:p>
    <w:p w14:paraId="58579914" w14:textId="0D90CE74" w:rsidR="00352920" w:rsidRPr="0044329B" w:rsidRDefault="00352920" w:rsidP="0044329B">
      <w:pPr>
        <w:pStyle w:val="Akapitzlist"/>
        <w:numPr>
          <w:ilvl w:val="0"/>
          <w:numId w:val="48"/>
        </w:numPr>
        <w:spacing w:line="360" w:lineRule="auto"/>
        <w:ind w:left="28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4329B">
        <w:rPr>
          <w:rFonts w:ascii="Times New Roman" w:hAnsi="Times New Roman" w:cs="Times New Roman"/>
          <w:i/>
          <w:iCs/>
          <w:sz w:val="24"/>
          <w:szCs w:val="24"/>
        </w:rPr>
        <w:t>Organ</w:t>
      </w:r>
      <w:r w:rsidRPr="0044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329B">
        <w:rPr>
          <w:rFonts w:ascii="Times New Roman" w:hAnsi="Times New Roman" w:cs="Times New Roman"/>
          <w:i/>
          <w:iCs/>
          <w:sz w:val="24"/>
          <w:szCs w:val="24"/>
        </w:rPr>
        <w:t xml:space="preserve">przesyła sygnaliście niezwłocznie, nie później niż w terminie 7 dni od dnia przyjęcia zgłoszenia, potwierdzenie jego przyjęcia, chyba, że sygnalista wystąpił </w:t>
      </w:r>
      <w:r w:rsidRPr="0044329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4329B">
        <w:rPr>
          <w:rFonts w:ascii="Times New Roman" w:hAnsi="Times New Roman" w:cs="Times New Roman"/>
          <w:i/>
          <w:iCs/>
          <w:sz w:val="24"/>
          <w:szCs w:val="24"/>
        </w:rPr>
        <w:t xml:space="preserve">wyraźnie </w:t>
      </w:r>
      <w:r w:rsidRPr="0044329B">
        <w:rPr>
          <w:rFonts w:ascii="Times New Roman" w:hAnsi="Times New Roman" w:cs="Times New Roman"/>
          <w:i/>
          <w:iCs/>
          <w:sz w:val="24"/>
          <w:szCs w:val="24"/>
        </w:rPr>
        <w:t xml:space="preserve">z odmiennym wnioskiem w tym zakresie lub organ ma uzasadnione podstawy sądzić, że potwierdzenie przyjęcia zgłoszenia zagroziłoby ochronie poufności tożsamości sygnalisty. </w:t>
      </w:r>
    </w:p>
    <w:p w14:paraId="50EF3A4E" w14:textId="38D2C349" w:rsidR="00BF10C2" w:rsidRPr="001E48C7" w:rsidRDefault="00BF10C2" w:rsidP="0044329B">
      <w:pPr>
        <w:pStyle w:val="Akapitzlist"/>
        <w:numPr>
          <w:ilvl w:val="0"/>
          <w:numId w:val="48"/>
        </w:numPr>
        <w:spacing w:line="360" w:lineRule="auto"/>
        <w:ind w:left="28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żądanie sygnalisty organ</w:t>
      </w:r>
      <w:r w:rsidR="000825CC">
        <w:rPr>
          <w:rFonts w:ascii="Times New Roman" w:hAnsi="Times New Roman" w:cs="Times New Roman"/>
          <w:i/>
          <w:iCs/>
          <w:sz w:val="24"/>
          <w:szCs w:val="24"/>
        </w:rPr>
        <w:t xml:space="preserve">, jeśli jest </w:t>
      </w:r>
      <w:r w:rsidR="000825CC" w:rsidRPr="000825CC">
        <w:rPr>
          <w:rFonts w:ascii="Times New Roman" w:hAnsi="Times New Roman" w:cs="Times New Roman"/>
          <w:i/>
          <w:iCs/>
          <w:sz w:val="24"/>
          <w:szCs w:val="24"/>
        </w:rPr>
        <w:t>właściwy do podjęcia działań następczych</w:t>
      </w:r>
      <w:r w:rsidR="000825C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wydaje, nie później niż w terminie miesiąca od dnia otrzymania żądania, zaświadczenie, w którym potwierdza, że sygnalista podlega ochronie.</w:t>
      </w:r>
    </w:p>
    <w:p w14:paraId="67331860" w14:textId="36B77A90" w:rsidR="001E48C7" w:rsidRPr="001E48C7" w:rsidRDefault="005E01E9" w:rsidP="0044329B">
      <w:pPr>
        <w:pStyle w:val="Akapitzlist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Zg</w:t>
      </w:r>
      <w:r w:rsidRPr="001D2B0C">
        <w:rPr>
          <w:rFonts w:ascii="Times New Roman" w:hAnsi="Times New Roman" w:cs="Times New Roman"/>
          <w:i/>
          <w:iCs/>
          <w:sz w:val="24"/>
          <w:szCs w:val="24"/>
        </w:rPr>
        <w:t>łoszenia anonimowe</w:t>
      </w:r>
      <w:r w:rsidRPr="001D2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2B0C">
        <w:rPr>
          <w:rFonts w:ascii="Times New Roman" w:hAnsi="Times New Roman" w:cs="Times New Roman"/>
          <w:i/>
          <w:iCs/>
          <w:sz w:val="24"/>
          <w:szCs w:val="24"/>
        </w:rPr>
        <w:t xml:space="preserve">nie podlegają </w:t>
      </w:r>
      <w:r>
        <w:rPr>
          <w:rFonts w:ascii="Times New Roman" w:hAnsi="Times New Roman" w:cs="Times New Roman"/>
          <w:i/>
          <w:iCs/>
          <w:sz w:val="24"/>
          <w:szCs w:val="24"/>
        </w:rPr>
        <w:t>procedurze</w:t>
      </w:r>
      <w:r w:rsidRPr="001D2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D2B0C">
        <w:rPr>
          <w:rFonts w:ascii="Times New Roman" w:hAnsi="Times New Roman" w:cs="Times New Roman"/>
          <w:i/>
          <w:iCs/>
          <w:sz w:val="24"/>
          <w:szCs w:val="24"/>
        </w:rPr>
        <w:t xml:space="preserve">głoszeń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D2B0C">
        <w:rPr>
          <w:rFonts w:ascii="Times New Roman" w:hAnsi="Times New Roman" w:cs="Times New Roman"/>
          <w:i/>
          <w:iCs/>
          <w:sz w:val="24"/>
          <w:szCs w:val="24"/>
        </w:rPr>
        <w:t>ewnętrznych</w:t>
      </w:r>
      <w:r w:rsidR="001E48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C442E6" w14:textId="77777777" w:rsidR="007C2187" w:rsidRDefault="007C2187" w:rsidP="00BF5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2CF8192" w14:textId="77777777" w:rsidR="00BF5A26" w:rsidRDefault="00BF5A26" w:rsidP="00BF5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395FAD22" w14:textId="77777777" w:rsidR="00BF5A26" w:rsidRDefault="00BF5A26" w:rsidP="00BF5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5D797BAB" w14:textId="77777777" w:rsidR="00BF5A26" w:rsidRDefault="00BF5A26" w:rsidP="00BF5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52B5DE47" w14:textId="0ECBED76" w:rsidR="001D2B0C" w:rsidRDefault="005570FA" w:rsidP="005E01E9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7C2187" w:rsidRPr="00557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  <w:r w:rsidR="001B3C6B" w:rsidRPr="00557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3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369712B6" w14:textId="3F3BB40B" w:rsidR="009D3D6C" w:rsidRDefault="009D3D6C" w:rsidP="009D3D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1.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Komisja Wyjaśniająca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dokonuje wstępnej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weryfik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acji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a, polegającej na ustaleniu, czy zgłoszenie dotyczy informacji o naruszeniu prawa, oraz na ustaleniu, czy zgłoszenie dotyczy naruszeń prawa w dziedzinie należącej do zakresu działania organu.</w:t>
      </w:r>
    </w:p>
    <w:p w14:paraId="4D3F863B" w14:textId="790CCD31" w:rsidR="00A33B66" w:rsidRDefault="00A77B6C" w:rsidP="009D3D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2</w:t>
      </w:r>
      <w:r w:rsidR="009D3D6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. Jeżeli wstępna weryfikacja zgłoszenia wykaże, że zgłoszenie nie dotyczy naruszenia prawa </w:t>
      </w:r>
      <w:r w:rsidR="00BF5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9D3D6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 dziedzinie należącej do zakresu działania organu, komisja ustala organ publiczny właściwy do podjęcia działań</w:t>
      </w:r>
      <w:r w:rsidR="004C3CD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następczych</w:t>
      </w:r>
      <w:r w:rsidR="009D3D6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i przekazuje mu zgłoszenie niezwłocznie, nie później jednak niż w terminie 14 dni od dnia dokonania zgłoszenia, w uzasadnionych przypadkach nie później niż w terminie 30 dni, oraz informuje o tym sygnalistę.</w:t>
      </w:r>
      <w:r w:rsidR="00A33B6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Jeżeli zgłoszenie nie dotyczy informacji o naruszeniu prawa, organ odstępuje od przekazania zgłoszenia.</w:t>
      </w:r>
    </w:p>
    <w:p w14:paraId="3C383C5D" w14:textId="5E401C29" w:rsidR="009D3D6C" w:rsidRDefault="00A77B6C" w:rsidP="009D3D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3</w:t>
      </w:r>
      <w:r w:rsidR="009D3D6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. Jeżeli wstępna weryfikacja wykaże, że zgłoszenie dotyczy naruszenia prawa w dziedzinie należącej do </w:t>
      </w:r>
      <w:r w:rsidR="00620A6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zakresu </w:t>
      </w:r>
      <w:r w:rsidR="009D3D6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działania organu, komisja rozpatruje zgłoszenie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4F9ACC47" w14:textId="77777777" w:rsidR="00A33B66" w:rsidRDefault="00A33B66" w:rsidP="009D3D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26255EA9" w14:textId="3695D388" w:rsidR="00A33B66" w:rsidRPr="00152E38" w:rsidRDefault="00A33B66" w:rsidP="00A33B6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52E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 7</w:t>
      </w:r>
    </w:p>
    <w:p w14:paraId="6600D090" w14:textId="7B28D918" w:rsidR="00232DDA" w:rsidRDefault="00A33B66" w:rsidP="00A77B6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1</w:t>
      </w:r>
      <w:r w:rsidR="00A77B6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. </w:t>
      </w:r>
      <w:r w:rsidR="00232DDA" w:rsidRPr="00A77B6C">
        <w:rPr>
          <w:rFonts w:ascii="Times New Roman" w:hAnsi="Times New Roman" w:cs="Times New Roman"/>
          <w:i/>
          <w:iCs/>
          <w:sz w:val="24"/>
          <w:szCs w:val="24"/>
        </w:rPr>
        <w:t xml:space="preserve">Organ może zwrócić się do sygnalisty, na podany </w:t>
      </w:r>
      <w:r w:rsidR="009D3D6C" w:rsidRPr="00A77B6C">
        <w:rPr>
          <w:rFonts w:ascii="Times New Roman" w:hAnsi="Times New Roman" w:cs="Times New Roman"/>
          <w:i/>
          <w:iCs/>
          <w:sz w:val="24"/>
          <w:szCs w:val="24"/>
        </w:rPr>
        <w:t xml:space="preserve">przez niego </w:t>
      </w:r>
      <w:r w:rsidR="00232DDA" w:rsidRPr="00A77B6C">
        <w:rPr>
          <w:rFonts w:ascii="Times New Roman" w:hAnsi="Times New Roman" w:cs="Times New Roman"/>
          <w:i/>
          <w:iCs/>
          <w:sz w:val="24"/>
          <w:szCs w:val="24"/>
        </w:rPr>
        <w:t xml:space="preserve">adres do kontaktu, </w:t>
      </w:r>
      <w:r w:rsidR="00BF5A2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32DDA" w:rsidRPr="00A77B6C">
        <w:rPr>
          <w:rFonts w:ascii="Times New Roman" w:hAnsi="Times New Roman" w:cs="Times New Roman"/>
          <w:i/>
          <w:iCs/>
          <w:sz w:val="24"/>
          <w:szCs w:val="24"/>
        </w:rPr>
        <w:t xml:space="preserve">o wyjaśnienia lub dodatkowe informacje, jakie mogą być w jego posiadaniu. Jeżeli sygnalista sprzeciwia się przesłaniu żądanych </w:t>
      </w:r>
      <w:r w:rsidR="00396309" w:rsidRPr="00A77B6C">
        <w:rPr>
          <w:rFonts w:ascii="Times New Roman" w:hAnsi="Times New Roman" w:cs="Times New Roman"/>
          <w:i/>
          <w:iCs/>
          <w:sz w:val="24"/>
          <w:szCs w:val="24"/>
        </w:rPr>
        <w:t>wyjaśnień lub dodatkowych informacji lub ich przesłanie może zagrozić ochronie poufności jego tożsamości, organ publiczny odstępuje od żądania wyjaśnień lub dodatkowych informacji.</w:t>
      </w:r>
    </w:p>
    <w:p w14:paraId="22A39F6D" w14:textId="6A756886" w:rsidR="00396309" w:rsidRPr="00A77B6C" w:rsidRDefault="00A33B66" w:rsidP="00A77B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77B6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96309" w:rsidRPr="00A77B6C">
        <w:rPr>
          <w:rFonts w:ascii="Times New Roman" w:hAnsi="Times New Roman" w:cs="Times New Roman"/>
          <w:i/>
          <w:iCs/>
          <w:sz w:val="24"/>
          <w:szCs w:val="24"/>
        </w:rPr>
        <w:t>W uzasadnionych przypadkach, w celu przeprowadzenia postepowania wyjaśniającego, organ może przekazać zgłoszenie:</w:t>
      </w:r>
    </w:p>
    <w:p w14:paraId="155F8037" w14:textId="459DE220" w:rsidR="00396309" w:rsidRPr="00EC6E15" w:rsidRDefault="00396309" w:rsidP="00EC6E1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C6E15">
        <w:rPr>
          <w:rFonts w:ascii="Times New Roman" w:hAnsi="Times New Roman" w:cs="Times New Roman"/>
          <w:i/>
          <w:iCs/>
          <w:sz w:val="24"/>
          <w:szCs w:val="24"/>
        </w:rPr>
        <w:t>jednostkom organizacyjnym podległym lub nadzorowanym,</w:t>
      </w:r>
    </w:p>
    <w:p w14:paraId="77D3929B" w14:textId="69936815" w:rsidR="00EC6E15" w:rsidRDefault="00396309" w:rsidP="008F4D2B">
      <w:pPr>
        <w:pStyle w:val="Akapitzlist"/>
        <w:numPr>
          <w:ilvl w:val="0"/>
          <w:numId w:val="44"/>
        </w:numPr>
        <w:tabs>
          <w:tab w:val="left" w:pos="360"/>
        </w:tabs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6E15">
        <w:rPr>
          <w:rFonts w:ascii="Times New Roman" w:hAnsi="Times New Roman" w:cs="Times New Roman"/>
          <w:i/>
          <w:iCs/>
          <w:sz w:val="24"/>
          <w:szCs w:val="24"/>
        </w:rPr>
        <w:t>innej jednostce organizacyjnej</w:t>
      </w:r>
      <w:r w:rsidR="00352920" w:rsidRPr="00EC6E15">
        <w:rPr>
          <w:rFonts w:ascii="Times New Roman" w:hAnsi="Times New Roman" w:cs="Times New Roman"/>
          <w:i/>
          <w:iCs/>
          <w:sz w:val="24"/>
          <w:szCs w:val="24"/>
        </w:rPr>
        <w:t>, której powierzono zadania w drodze porozumienia</w:t>
      </w:r>
      <w:r w:rsidR="00A77B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583F8E" w14:textId="77777777" w:rsidR="00A33B66" w:rsidRDefault="00A33B66" w:rsidP="004C4E7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8F4D2B" w:rsidRPr="00A33B66">
        <w:rPr>
          <w:rFonts w:ascii="Times New Roman" w:hAnsi="Times New Roman" w:cs="Times New Roman"/>
          <w:i/>
          <w:iCs/>
          <w:sz w:val="24"/>
          <w:szCs w:val="24"/>
        </w:rPr>
        <w:t>Organ przekazuje bez zbędnej zwłoki właściwym instytucjom, organom lub jednostkom organizacyjnym Unii Europejskiej informacje zawarte w zgłoszeniu w celu prowadzenia działań następczych w trybie stosowanym przez takie instytucje, organy lub jednostki, jeżeli przewidują to przepisy odrębne.</w:t>
      </w:r>
    </w:p>
    <w:p w14:paraId="7FD97BFC" w14:textId="77777777" w:rsidR="004C4E74" w:rsidRDefault="00A33B66" w:rsidP="004C4E7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="00EC6E15" w:rsidRPr="00A33B66">
        <w:rPr>
          <w:rFonts w:ascii="Times New Roman" w:hAnsi="Times New Roman" w:cs="Times New Roman"/>
          <w:i/>
          <w:iCs/>
          <w:sz w:val="24"/>
          <w:szCs w:val="24"/>
        </w:rPr>
        <w:t>Organ może nie podjąć działań następczych w przypadku, gdy w zgłoszeniu dotyczącym</w:t>
      </w:r>
      <w:r w:rsidR="00A77B6C" w:rsidRPr="00A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6E15" w:rsidRPr="00A33B66">
        <w:rPr>
          <w:rFonts w:ascii="Times New Roman" w:hAnsi="Times New Roman" w:cs="Times New Roman"/>
          <w:i/>
          <w:iCs/>
          <w:sz w:val="24"/>
          <w:szCs w:val="24"/>
        </w:rPr>
        <w:t>sprawy będącej już przedmiotem wcześniejszego zgłoszenia przez tego samego lub innego sygnalistę nie zawarto istotnych nowych informacji na temat narusze</w:t>
      </w:r>
      <w:r w:rsidR="009D3D6C" w:rsidRPr="00A33B66">
        <w:rPr>
          <w:rFonts w:ascii="Times New Roman" w:hAnsi="Times New Roman" w:cs="Times New Roman"/>
          <w:i/>
          <w:iCs/>
          <w:sz w:val="24"/>
          <w:szCs w:val="24"/>
        </w:rPr>
        <w:t>nia</w:t>
      </w:r>
      <w:r w:rsidR="00EC6E15" w:rsidRPr="00A33B66">
        <w:rPr>
          <w:rFonts w:ascii="Times New Roman" w:hAnsi="Times New Roman" w:cs="Times New Roman"/>
          <w:i/>
          <w:iCs/>
          <w:sz w:val="24"/>
          <w:szCs w:val="24"/>
        </w:rPr>
        <w:t xml:space="preserve"> prawa </w:t>
      </w:r>
      <w:r w:rsidR="00C6316C" w:rsidRPr="00A33B6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C6E15" w:rsidRPr="00A33B66">
        <w:rPr>
          <w:rFonts w:ascii="Times New Roman" w:hAnsi="Times New Roman" w:cs="Times New Roman"/>
          <w:i/>
          <w:iCs/>
          <w:sz w:val="24"/>
          <w:szCs w:val="24"/>
        </w:rPr>
        <w:t xml:space="preserve">w porównaniu z wcześniejszym zgłoszeniem. </w:t>
      </w:r>
      <w:r w:rsidR="00C6316C" w:rsidRPr="00A33B66">
        <w:rPr>
          <w:rFonts w:ascii="Times New Roman" w:hAnsi="Times New Roman" w:cs="Times New Roman"/>
          <w:i/>
          <w:iCs/>
          <w:sz w:val="24"/>
          <w:szCs w:val="24"/>
        </w:rPr>
        <w:t>Organ informuje sygnalistę o niepodjęciu działań następczych, podając uzasadnienie, a w razie kolejnego zgłoszenia – pozostawia je bez rozpoznania i nie informuje o tym sygnalisty.</w:t>
      </w:r>
    </w:p>
    <w:p w14:paraId="13A64C18" w14:textId="16592E1F" w:rsidR="00A77B6C" w:rsidRPr="00BF5A26" w:rsidRDefault="004C4E74" w:rsidP="00BF5A26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5. </w:t>
      </w:r>
      <w:r w:rsidR="00A77B6C" w:rsidRPr="004C4E74">
        <w:rPr>
          <w:rFonts w:ascii="Times New Roman" w:hAnsi="Times New Roman" w:cs="Times New Roman"/>
          <w:i/>
          <w:iCs/>
          <w:sz w:val="24"/>
          <w:szCs w:val="24"/>
        </w:rPr>
        <w:t>Komisja podejmuje działania następcze z zachowaniem należytej staranności.</w:t>
      </w:r>
    </w:p>
    <w:p w14:paraId="018D3DEF" w14:textId="0AA2E02C" w:rsidR="006D7220" w:rsidRDefault="006D7220" w:rsidP="006D7220">
      <w:pPr>
        <w:spacing w:line="360" w:lineRule="auto"/>
        <w:ind w:left="6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2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</w:p>
    <w:p w14:paraId="62D0B92F" w14:textId="623DECEB" w:rsidR="006D7220" w:rsidRDefault="006D7220" w:rsidP="006D7220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220">
        <w:rPr>
          <w:rFonts w:ascii="Times New Roman" w:hAnsi="Times New Roman" w:cs="Times New Roman"/>
          <w:i/>
          <w:iCs/>
          <w:sz w:val="24"/>
          <w:szCs w:val="24"/>
        </w:rPr>
        <w:t xml:space="preserve">Organ przekazuje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sygnaliście informację zwrotną w terminie nieprzekraczającym 3 miesięcy od dnia przyjęcia zgłoszenia. </w:t>
      </w:r>
    </w:p>
    <w:p w14:paraId="554E7CC4" w14:textId="70490B7A" w:rsidR="006D7220" w:rsidRDefault="006D7220" w:rsidP="006D7220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uzasadnionych przypadkach organ przekazuje sygnaliście informację zwrotną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w terminie nieprzekraczającym 6 miesięcy od dnia przyjęcia zgłoszenia,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po poinformowaniu o tym sygnalisty przed upływem terminu, o którym mowa w ust. 1.</w:t>
      </w:r>
    </w:p>
    <w:p w14:paraId="2CAA8EB2" w14:textId="3A70B4B6" w:rsidR="00797979" w:rsidRPr="006D7220" w:rsidRDefault="00797979" w:rsidP="006D7220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Organ informuje sygnalistę o ostatecznym wyniku postępowań wyjaśniających wszczętych na skutek zgłoszenia.</w:t>
      </w:r>
    </w:p>
    <w:p w14:paraId="51D95DFC" w14:textId="77777777" w:rsidR="00486AEE" w:rsidRDefault="00486AEE" w:rsidP="00E530B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61D32FF" w14:textId="08B551D6" w:rsidR="001D2B0C" w:rsidRPr="001D2B0C" w:rsidRDefault="001D2B0C" w:rsidP="005570F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52E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9</w:t>
      </w:r>
    </w:p>
    <w:p w14:paraId="7337B754" w14:textId="590CB2E6" w:rsidR="001D2B0C" w:rsidRDefault="001D2B0C" w:rsidP="00801A2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A26">
        <w:rPr>
          <w:rFonts w:ascii="Times New Roman" w:hAnsi="Times New Roman" w:cs="Times New Roman"/>
          <w:i/>
          <w:iCs/>
          <w:sz w:val="24"/>
          <w:szCs w:val="24"/>
        </w:rPr>
        <w:t xml:space="preserve">Zgłoszenie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01A26">
        <w:rPr>
          <w:rFonts w:ascii="Times New Roman" w:hAnsi="Times New Roman" w:cs="Times New Roman"/>
          <w:i/>
          <w:iCs/>
          <w:sz w:val="24"/>
          <w:szCs w:val="24"/>
        </w:rPr>
        <w:t>aruszenia</w:t>
      </w:r>
      <w:r w:rsidR="00C20C43">
        <w:rPr>
          <w:rFonts w:ascii="Times New Roman" w:hAnsi="Times New Roman" w:cs="Times New Roman"/>
          <w:i/>
          <w:iCs/>
          <w:sz w:val="24"/>
          <w:szCs w:val="24"/>
        </w:rPr>
        <w:t xml:space="preserve"> prawa</w:t>
      </w:r>
      <w:r w:rsidRPr="00801A26">
        <w:rPr>
          <w:rFonts w:ascii="Times New Roman" w:hAnsi="Times New Roman" w:cs="Times New Roman"/>
          <w:i/>
          <w:iCs/>
          <w:sz w:val="24"/>
          <w:szCs w:val="24"/>
        </w:rPr>
        <w:t xml:space="preserve"> może być dokonane wyłącznie w dobrej wierze.</w:t>
      </w:r>
    </w:p>
    <w:p w14:paraId="27652216" w14:textId="1021F867" w:rsidR="00E02E0B" w:rsidRPr="00801A26" w:rsidRDefault="00E02E0B" w:rsidP="00801A2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Sygnalista podlega ochronie </w:t>
      </w:r>
      <w:r w:rsidR="00C60A86" w:rsidRPr="00C60A86">
        <w:rPr>
          <w:rFonts w:ascii="Times New Roman" w:hAnsi="Times New Roman" w:cs="Times New Roman"/>
          <w:i/>
          <w:iCs/>
          <w:sz w:val="24"/>
          <w:szCs w:val="24"/>
        </w:rPr>
        <w:t>od chwili dokonania zgłoszenia</w:t>
      </w:r>
      <w:r w:rsidR="00C60A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60A86" w:rsidRPr="00C60A86">
        <w:rPr>
          <w:rFonts w:ascii="Times New Roman" w:hAnsi="Times New Roman" w:cs="Times New Roman"/>
          <w:i/>
          <w:iCs/>
          <w:sz w:val="24"/>
          <w:szCs w:val="24"/>
        </w:rPr>
        <w:t xml:space="preserve"> pod warunkiem że miał uzasadnione podstawy sądzić, że informacja będąca przedmiotem zgłoszenia jest prawdziwa w momencie dokonywania zgłoszenia i że stanowi informację o naruszeniu prawa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B810A9A" w14:textId="562E6FB1" w:rsidR="001D2B0C" w:rsidRPr="001D2B0C" w:rsidRDefault="001D2B0C" w:rsidP="001D2B0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Zakazuje się świadomego składania fałszywych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głoszeń.</w:t>
      </w:r>
    </w:p>
    <w:p w14:paraId="45D15B72" w14:textId="24775EB3" w:rsidR="001D2B0C" w:rsidRPr="00520213" w:rsidRDefault="00BC1635" w:rsidP="0052021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Osoba, która poniosła szkodę </w:t>
      </w:r>
      <w:r w:rsidR="003F21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 powodu świadomego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3F21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nieprawdziwych informacji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ma prawo do odszkodowania lub zadośćuczynienia od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za naruszenie dóbr osobistych.</w:t>
      </w:r>
    </w:p>
    <w:p w14:paraId="2E2B0F3F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4F4A06E" w14:textId="2C13F126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52E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10</w:t>
      </w:r>
    </w:p>
    <w:p w14:paraId="6C4A1AA9" w14:textId="05C3882E" w:rsidR="001D2B0C" w:rsidRPr="00312FED" w:rsidRDefault="00801A26" w:rsidP="00312FE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Dane osobowe</w:t>
      </w:r>
      <w:r w:rsidR="00312F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12FED">
        <w:rPr>
          <w:rFonts w:ascii="Times New Roman" w:hAnsi="Times New Roman" w:cs="Times New Roman"/>
          <w:i/>
          <w:iCs/>
          <w:sz w:val="24"/>
          <w:szCs w:val="24"/>
        </w:rPr>
        <w:t>ygnalisty,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pozwalające na ustalenie jego tożsamości, nie podlegają ujawnieniu nieupoważnionym osobom, chyba że za wyraźną zgodą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ygnalisty.</w:t>
      </w:r>
      <w:r w:rsidR="00312F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EDC119" w14:textId="47D41FF4" w:rsidR="001D2B0C" w:rsidRDefault="00FB5E28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Wobec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ygnalisty nie mogą być podejmowane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 odwetowe ani próby lub groźby zastosowania takich działań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(np. 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odmowa nawiązania stosunku pracy, 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wypowiedzeni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lub rozwiązani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bez wypowiedzenia stosunku pracy, obniżeni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wysokości wynagrodzenia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za pracę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wstrzymani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awansu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albo pominięcie przy awansowaniu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przeniesieni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 niższe stanowisko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pracy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mobbing, dyskryminacj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negatywna ocena wyników pracy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lub negatywna opinia o pracy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pominięcie przy przyznawaniu innych niż wynagrodzenie świadczeń związanych z pracą lub obniżeni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wysokości tych świadczeń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wstrzymanie udziału lub pominięcie przy typowaniu do udziału w szkoleniach podnoszących kwalifikacje zawodowe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).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D4BE480" w14:textId="74FE852D" w:rsidR="00B10A6D" w:rsidRPr="001D2B0C" w:rsidRDefault="00B10A6D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 xml:space="preserve">Jeżeli praca lub usługi były, są lub mają być świadczone na podstawie innego niż stosunek pracy stosunku prawnego, ust. </w:t>
      </w:r>
      <w:r w:rsidR="009C2E0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stosuje się odpowiednio, o ile charakter świadczonej pracy lub usług lub pełnionej funkcji nie wyklucza zastosowania wobec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takiego działania.</w:t>
      </w:r>
    </w:p>
    <w:p w14:paraId="09736F91" w14:textId="219A40C8" w:rsidR="001D2B0C" w:rsidRPr="001D2B0C" w:rsidRDefault="00B10A6D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Zakaz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ziałań odwetowych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obejmuje również osobę pomagającą w dokonaniu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oraz osobę powiązaną</w:t>
      </w:r>
      <w:r w:rsidR="00716D2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ygnalistą.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Zakaz ten stosuje się także do osoby prawnej lub innej jednostki organizacyjnej pomagającej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 lub z nim powiązanej.</w:t>
      </w:r>
    </w:p>
    <w:p w14:paraId="2C8BB8D6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CDCB2DA" w14:textId="5FDD5034" w:rsidR="001D2B0C" w:rsidRPr="00801A26" w:rsidRDefault="001D2B0C" w:rsidP="00801A2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A7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1</w:t>
      </w:r>
      <w:r w:rsidR="00152E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1</w:t>
      </w:r>
    </w:p>
    <w:p w14:paraId="39C64E94" w14:textId="6C42248A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Zgłoszenie zostaje zarejestrowane w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Rejestrze </w:t>
      </w:r>
      <w:r w:rsidR="00CA714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głoszeń </w:t>
      </w:r>
      <w:r w:rsidR="00CA714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ewnętrznych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07C16780" w14:textId="691D5724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 prowadzenie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ejestru odpowiada</w:t>
      </w:r>
      <w:r w:rsidR="00716D2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971E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osoba odpowiedzialna za przyjmowanie zgłoszeń, </w:t>
      </w:r>
      <w:r w:rsidR="00BF5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B971E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 której mowa w § 3 ust. 1</w:t>
      </w:r>
      <w:r w:rsidR="00177C2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21AC43E9" w14:textId="73FE1AFF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Rejestr 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zgłoszeń o</w:t>
      </w:r>
      <w:r w:rsidR="00806F9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b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ejmuje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:</w:t>
      </w:r>
    </w:p>
    <w:p w14:paraId="68B61423" w14:textId="189E64A9" w:rsidR="001D2B0C" w:rsidRP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numer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2C2F8265" w14:textId="018AFB37" w:rsid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przedmiot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1B55251E" w14:textId="2546EAA9" w:rsidR="008901BC" w:rsidRDefault="008901B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dane osobowe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oraz osoby, której dotyczy zgłoszenie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niezbędne </w:t>
      </w:r>
      <w:r w:rsidR="009C2E0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identyfikacji tych osób,</w:t>
      </w:r>
    </w:p>
    <w:p w14:paraId="35AA23F3" w14:textId="05A5391F" w:rsidR="001D2B0C" w:rsidRP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datę dokonania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głoszenia,</w:t>
      </w:r>
    </w:p>
    <w:p w14:paraId="5B31F126" w14:textId="7451FD75" w:rsid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informacj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ę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 podjętych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ziałaniach następczych,</w:t>
      </w:r>
    </w:p>
    <w:p w14:paraId="669BFE7A" w14:textId="35D1A42C" w:rsidR="00CA7143" w:rsidRPr="00CA7143" w:rsidRDefault="00CA7143" w:rsidP="00CA7143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informację o wydaniu zaświadczenia, o którym mowa w §</w:t>
      </w:r>
      <w:r w:rsidR="00BF10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971E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5</w:t>
      </w:r>
      <w:r w:rsidR="00BF10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ust. </w:t>
      </w:r>
      <w:r w:rsidR="00B971E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25FD30C6" w14:textId="75C05DBB" w:rsid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datę zakończenia sprawy</w:t>
      </w:r>
      <w:r w:rsidR="00CA71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6916DFE9" w14:textId="3BB47764" w:rsidR="00CA7143" w:rsidRDefault="00CA7143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informację o niepod</w:t>
      </w:r>
      <w:r w:rsidR="00A33C7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ejmowaniu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dalszych działań w przypadku, o którym mowa w §</w:t>
      </w:r>
      <w:r w:rsidR="00BF10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33C7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7</w:t>
      </w:r>
      <w:r w:rsidR="00BF10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ust. </w:t>
      </w:r>
      <w:r w:rsidR="00A33C7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712D0F67" w14:textId="3D992741" w:rsidR="00CA7143" w:rsidRPr="001D2B0C" w:rsidRDefault="00CA7143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szacunkową szkodę majątkową, jeżeli została stwierdzona, oraz kwoty odzyskane </w:t>
      </w:r>
      <w:r w:rsidR="0052021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 wyniku postępowań dotyczących naruszeń prawa będących przedmiotem zgłoszenia – o ile organ posiada te dane.</w:t>
      </w:r>
    </w:p>
    <w:p w14:paraId="7D44D9F8" w14:textId="17183613" w:rsidR="001D2B0C" w:rsidRPr="00DB1C86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Dane w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ejestrze przechowywane są przez okres 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3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lat 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 zakończeniu roku kalendarzowego, w którym zakończono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 następcze, lub po zakończeniu postępowań zainicjowanych tymi działaniami.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1A685B28" w14:textId="77777777" w:rsidR="00DB1C86" w:rsidRPr="001D2B0C" w:rsidRDefault="00DB1C86" w:rsidP="00DB1C86">
      <w:pPr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56AE838" w14:textId="5DAB7AE2" w:rsidR="001D2B0C" w:rsidRDefault="00DB1C86" w:rsidP="001D2B0C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 1</w:t>
      </w:r>
      <w:r w:rsidR="00152E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2</w:t>
      </w:r>
    </w:p>
    <w:p w14:paraId="7B1F6FE2" w14:textId="05400B17" w:rsidR="00152E38" w:rsidRDefault="00DB1C86" w:rsidP="00DB1C86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 każdy rok kalendarzowy o</w:t>
      </w:r>
      <w:r w:rsidRPr="00DB1C86">
        <w:rPr>
          <w:rFonts w:ascii="Times New Roman" w:hAnsi="Times New Roman" w:cs="Times New Roman"/>
          <w:i/>
          <w:iCs/>
          <w:sz w:val="24"/>
          <w:szCs w:val="24"/>
        </w:rPr>
        <w:t xml:space="preserve">rgan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sporządza sprawozdanie zawierające dane statystyczne dotyczące zgłoszeń, zawierające liczbę przyjętych zgłoszeń, liczbę postępowań wyjaśniających i postępowań wszczętych w wyniku przyjętych zgłoszeń,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informację o wyniku tych postępowań oraz szacunkową szkodę majątkową, jeżeli została stwierdzona oraz kwoty odzyskane w wyniku postępowań dotyczących naruszeń prawa</w:t>
      </w:r>
      <w:r w:rsidR="00152E38">
        <w:rPr>
          <w:rFonts w:ascii="Times New Roman" w:hAnsi="Times New Roman" w:cs="Times New Roman"/>
          <w:i/>
          <w:iCs/>
          <w:sz w:val="24"/>
          <w:szCs w:val="24"/>
        </w:rPr>
        <w:t>. Sprawozdanie przekazywane jest Rzecznikowi Praw Obywatelskich w terminie do dnia 31 marca roku następującego po roku, za jaki sprawozdanie jest sporządzane.</w:t>
      </w:r>
    </w:p>
    <w:p w14:paraId="347C5F0E" w14:textId="0AEEA7CA" w:rsidR="00DB1C86" w:rsidRDefault="00152E38" w:rsidP="00DB1C86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 sporządzenie sprawozdania, o którym mowa w ust. 1 odpowiada osoba, o której mowa w § 3 ust. 1</w:t>
      </w:r>
      <w:r w:rsidR="00DB1C8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A1288B5" w14:textId="77777777" w:rsidR="00152E38" w:rsidRDefault="00152E38" w:rsidP="00152E3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2C59D8" w14:textId="19B11E8E" w:rsidR="00152E38" w:rsidRDefault="00152E38" w:rsidP="00152E38">
      <w:pPr>
        <w:pStyle w:val="Akapitzlist"/>
        <w:spacing w:line="360" w:lineRule="auto"/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2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</w:t>
      </w:r>
    </w:p>
    <w:p w14:paraId="5578B659" w14:textId="4A6BBBFE" w:rsidR="00152E38" w:rsidRPr="00152E38" w:rsidRDefault="00152E38" w:rsidP="00152E38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E38">
        <w:rPr>
          <w:rFonts w:ascii="Times New Roman" w:hAnsi="Times New Roman" w:cs="Times New Roman"/>
          <w:i/>
          <w:iCs/>
          <w:sz w:val="24"/>
          <w:szCs w:val="24"/>
        </w:rPr>
        <w:t xml:space="preserve">Organ dokonuje </w:t>
      </w:r>
      <w:r>
        <w:rPr>
          <w:rFonts w:ascii="Times New Roman" w:hAnsi="Times New Roman" w:cs="Times New Roman"/>
          <w:i/>
          <w:iCs/>
          <w:sz w:val="24"/>
          <w:szCs w:val="24"/>
        </w:rPr>
        <w:t>przeglądu niniejszej procedury co najmniej raz na 3 lata.</w:t>
      </w:r>
    </w:p>
    <w:p w14:paraId="7E4060AA" w14:textId="67B58D94" w:rsidR="008A0D8D" w:rsidRPr="00FC4D23" w:rsidRDefault="008A0D8D" w:rsidP="00B971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sectPr w:rsidR="008A0D8D" w:rsidRPr="00FC4D23" w:rsidSect="00045287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AA40" w14:textId="77777777" w:rsidR="00134467" w:rsidRDefault="00134467" w:rsidP="00A739FC">
      <w:pPr>
        <w:spacing w:after="0" w:line="240" w:lineRule="auto"/>
      </w:pPr>
      <w:r>
        <w:separator/>
      </w:r>
    </w:p>
  </w:endnote>
  <w:endnote w:type="continuationSeparator" w:id="0">
    <w:p w14:paraId="6BF08EF6" w14:textId="77777777" w:rsidR="00134467" w:rsidRDefault="00134467" w:rsidP="00A7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310782"/>
      <w:docPartObj>
        <w:docPartGallery w:val="Page Numbers (Bottom of Page)"/>
        <w:docPartUnique/>
      </w:docPartObj>
    </w:sdtPr>
    <w:sdtContent>
      <w:p w14:paraId="4E2DFA75" w14:textId="38A41BF6" w:rsidR="00A739FC" w:rsidRDefault="00A739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BF81E" w14:textId="77777777" w:rsidR="00A739FC" w:rsidRDefault="00A7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DBDE" w14:textId="77777777" w:rsidR="00134467" w:rsidRDefault="00134467" w:rsidP="00A739FC">
      <w:pPr>
        <w:spacing w:after="0" w:line="240" w:lineRule="auto"/>
      </w:pPr>
      <w:r>
        <w:separator/>
      </w:r>
    </w:p>
  </w:footnote>
  <w:footnote w:type="continuationSeparator" w:id="0">
    <w:p w14:paraId="6813F22F" w14:textId="77777777" w:rsidR="00134467" w:rsidRDefault="00134467" w:rsidP="00A7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BE220B"/>
    <w:multiLevelType w:val="hybridMultilevel"/>
    <w:tmpl w:val="DF381CC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57E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8B100D"/>
    <w:multiLevelType w:val="hybridMultilevel"/>
    <w:tmpl w:val="17AA1808"/>
    <w:lvl w:ilvl="0" w:tplc="D4C87B7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09467877"/>
    <w:multiLevelType w:val="multilevel"/>
    <w:tmpl w:val="7548E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98A24A8"/>
    <w:multiLevelType w:val="multilevel"/>
    <w:tmpl w:val="301C3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660847"/>
    <w:multiLevelType w:val="multilevel"/>
    <w:tmpl w:val="7B201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E0B663A"/>
    <w:multiLevelType w:val="multilevel"/>
    <w:tmpl w:val="3334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0F18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945880"/>
    <w:multiLevelType w:val="hybridMultilevel"/>
    <w:tmpl w:val="9F528470"/>
    <w:lvl w:ilvl="0" w:tplc="446C597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246727"/>
    <w:multiLevelType w:val="hybridMultilevel"/>
    <w:tmpl w:val="B200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96B68"/>
    <w:multiLevelType w:val="hybridMultilevel"/>
    <w:tmpl w:val="46CC538A"/>
    <w:lvl w:ilvl="0" w:tplc="2108988C">
      <w:start w:val="1"/>
      <w:numFmt w:val="decimal"/>
      <w:lvlText w:val="%1)"/>
      <w:lvlJc w:val="left"/>
      <w:pPr>
        <w:ind w:left="426" w:hanging="360"/>
      </w:pPr>
      <w:rPr>
        <w:rFonts w:ascii="Times New Roman" w:eastAsia="Calibri" w:hAnsi="Times New Roman" w:cs="Times New Roman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1BF9587C"/>
    <w:multiLevelType w:val="hybridMultilevel"/>
    <w:tmpl w:val="CE8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01E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F8F77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2DD2713"/>
    <w:multiLevelType w:val="multilevel"/>
    <w:tmpl w:val="75826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55B4271"/>
    <w:multiLevelType w:val="multilevel"/>
    <w:tmpl w:val="11C871D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DD1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9E0A6D"/>
    <w:multiLevelType w:val="multilevel"/>
    <w:tmpl w:val="5190804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83B5D58"/>
    <w:multiLevelType w:val="hybridMultilevel"/>
    <w:tmpl w:val="622CA9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93BB5"/>
    <w:multiLevelType w:val="multilevel"/>
    <w:tmpl w:val="B9DE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AE92D88"/>
    <w:multiLevelType w:val="multilevel"/>
    <w:tmpl w:val="301C3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E631926"/>
    <w:multiLevelType w:val="hybridMultilevel"/>
    <w:tmpl w:val="29C4C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16E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C19E5"/>
    <w:multiLevelType w:val="hybridMultilevel"/>
    <w:tmpl w:val="15D83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45ACB"/>
    <w:multiLevelType w:val="hybridMultilevel"/>
    <w:tmpl w:val="0B74C06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847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70375E"/>
    <w:multiLevelType w:val="hybridMultilevel"/>
    <w:tmpl w:val="5E2A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95183"/>
    <w:multiLevelType w:val="hybridMultilevel"/>
    <w:tmpl w:val="9A7C2C5C"/>
    <w:lvl w:ilvl="0" w:tplc="A78E8B9E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4101759"/>
    <w:multiLevelType w:val="multilevel"/>
    <w:tmpl w:val="C8200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B11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F26A3A"/>
    <w:multiLevelType w:val="multilevel"/>
    <w:tmpl w:val="FC3292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E213869"/>
    <w:multiLevelType w:val="hybridMultilevel"/>
    <w:tmpl w:val="B7E67B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1855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480773"/>
    <w:multiLevelType w:val="multilevel"/>
    <w:tmpl w:val="EED4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77A41FB6"/>
    <w:multiLevelType w:val="multilevel"/>
    <w:tmpl w:val="42FE5F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CA6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88A10F4"/>
    <w:multiLevelType w:val="hybridMultilevel"/>
    <w:tmpl w:val="42AA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B3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BD49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EA95BE6"/>
    <w:multiLevelType w:val="multilevel"/>
    <w:tmpl w:val="F92A57E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134" w:hanging="567"/>
      </w:pPr>
      <w:rPr>
        <w:rFonts w:ascii="9999999" w:hAnsi="9999999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567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"/>
      <w:lvlJc w:val="left"/>
      <w:pPr>
        <w:tabs>
          <w:tab w:val="num" w:pos="0"/>
        </w:tabs>
        <w:ind w:left="1559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5">
      <w:start w:val="1"/>
      <w:numFmt w:val="decimal"/>
      <w:suff w:val="nothing"/>
      <w:lvlText w:val="Załącznik nr %6. "/>
      <w:lvlJc w:val="left"/>
      <w:pPr>
        <w:ind w:left="5387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num w:numId="1" w16cid:durableId="1175874519">
    <w:abstractNumId w:val="51"/>
  </w:num>
  <w:num w:numId="2" w16cid:durableId="374812925">
    <w:abstractNumId w:val="0"/>
  </w:num>
  <w:num w:numId="3" w16cid:durableId="398864527">
    <w:abstractNumId w:val="1"/>
  </w:num>
  <w:num w:numId="4" w16cid:durableId="2113476807">
    <w:abstractNumId w:val="2"/>
  </w:num>
  <w:num w:numId="5" w16cid:durableId="1761483127">
    <w:abstractNumId w:val="3"/>
  </w:num>
  <w:num w:numId="6" w16cid:durableId="260182926">
    <w:abstractNumId w:val="4"/>
  </w:num>
  <w:num w:numId="7" w16cid:durableId="1029374472">
    <w:abstractNumId w:val="5"/>
  </w:num>
  <w:num w:numId="8" w16cid:durableId="1301378123">
    <w:abstractNumId w:val="6"/>
  </w:num>
  <w:num w:numId="9" w16cid:durableId="1372419606">
    <w:abstractNumId w:val="7"/>
  </w:num>
  <w:num w:numId="10" w16cid:durableId="1638949526">
    <w:abstractNumId w:val="8"/>
  </w:num>
  <w:num w:numId="11" w16cid:durableId="1446541055">
    <w:abstractNumId w:val="9"/>
  </w:num>
  <w:num w:numId="12" w16cid:durableId="1197623411">
    <w:abstractNumId w:val="10"/>
  </w:num>
  <w:num w:numId="13" w16cid:durableId="561448917">
    <w:abstractNumId w:val="43"/>
  </w:num>
  <w:num w:numId="14" w16cid:durableId="356125653">
    <w:abstractNumId w:val="21"/>
  </w:num>
  <w:num w:numId="15" w16cid:durableId="208036163">
    <w:abstractNumId w:val="23"/>
  </w:num>
  <w:num w:numId="16" w16cid:durableId="1352074730">
    <w:abstractNumId w:val="41"/>
  </w:num>
  <w:num w:numId="17" w16cid:durableId="411053259">
    <w:abstractNumId w:val="27"/>
  </w:num>
  <w:num w:numId="18" w16cid:durableId="2025008185">
    <w:abstractNumId w:val="24"/>
  </w:num>
  <w:num w:numId="19" w16cid:durableId="557977104">
    <w:abstractNumId w:val="40"/>
  </w:num>
  <w:num w:numId="20" w16cid:durableId="931205928">
    <w:abstractNumId w:val="25"/>
  </w:num>
  <w:num w:numId="21" w16cid:durableId="389429229">
    <w:abstractNumId w:val="47"/>
  </w:num>
  <w:num w:numId="22" w16cid:durableId="1212157098">
    <w:abstractNumId w:val="46"/>
  </w:num>
  <w:num w:numId="23" w16cid:durableId="1939753416">
    <w:abstractNumId w:val="49"/>
  </w:num>
  <w:num w:numId="24" w16cid:durableId="2082557309">
    <w:abstractNumId w:val="37"/>
  </w:num>
  <w:num w:numId="25" w16cid:durableId="1916472541">
    <w:abstractNumId w:val="12"/>
  </w:num>
  <w:num w:numId="26" w16cid:durableId="579172468">
    <w:abstractNumId w:val="26"/>
  </w:num>
  <w:num w:numId="27" w16cid:durableId="1399284535">
    <w:abstractNumId w:val="31"/>
  </w:num>
  <w:num w:numId="28" w16cid:durableId="841965885">
    <w:abstractNumId w:val="34"/>
  </w:num>
  <w:num w:numId="29" w16cid:durableId="2075273198">
    <w:abstractNumId w:val="50"/>
  </w:num>
  <w:num w:numId="30" w16cid:durableId="976758965">
    <w:abstractNumId w:val="48"/>
  </w:num>
  <w:num w:numId="31" w16cid:durableId="1817531919">
    <w:abstractNumId w:val="33"/>
  </w:num>
  <w:num w:numId="32" w16cid:durableId="1874151246">
    <w:abstractNumId w:val="44"/>
  </w:num>
  <w:num w:numId="33" w16cid:durableId="17078262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482375">
    <w:abstractNumId w:val="15"/>
  </w:num>
  <w:num w:numId="35" w16cid:durableId="2089687720">
    <w:abstractNumId w:val="22"/>
  </w:num>
  <w:num w:numId="36" w16cid:durableId="2049797789">
    <w:abstractNumId w:val="45"/>
  </w:num>
  <w:num w:numId="37" w16cid:durableId="1761635819">
    <w:abstractNumId w:val="17"/>
  </w:num>
  <w:num w:numId="38" w16cid:durableId="1942184682">
    <w:abstractNumId w:val="14"/>
  </w:num>
  <w:num w:numId="39" w16cid:durableId="1596093536">
    <w:abstractNumId w:val="16"/>
  </w:num>
  <w:num w:numId="40" w16cid:durableId="1530415889">
    <w:abstractNumId w:val="42"/>
  </w:num>
  <w:num w:numId="41" w16cid:durableId="397942213">
    <w:abstractNumId w:val="28"/>
  </w:num>
  <w:num w:numId="42" w16cid:durableId="1166674885">
    <w:abstractNumId w:val="30"/>
  </w:num>
  <w:num w:numId="43" w16cid:durableId="393818376">
    <w:abstractNumId w:val="20"/>
  </w:num>
  <w:num w:numId="44" w16cid:durableId="524564880">
    <w:abstractNumId w:val="32"/>
  </w:num>
  <w:num w:numId="45" w16cid:durableId="1422529095">
    <w:abstractNumId w:val="13"/>
  </w:num>
  <w:num w:numId="46" w16cid:durableId="1428039178">
    <w:abstractNumId w:val="29"/>
  </w:num>
  <w:num w:numId="47" w16cid:durableId="1055859477">
    <w:abstractNumId w:val="19"/>
  </w:num>
  <w:num w:numId="48" w16cid:durableId="210921026">
    <w:abstractNumId w:val="38"/>
  </w:num>
  <w:num w:numId="49" w16cid:durableId="288784228">
    <w:abstractNumId w:val="11"/>
  </w:num>
  <w:num w:numId="50" w16cid:durableId="1231769320">
    <w:abstractNumId w:val="39"/>
  </w:num>
  <w:num w:numId="51" w16cid:durableId="526793765">
    <w:abstractNumId w:val="36"/>
  </w:num>
  <w:num w:numId="52" w16cid:durableId="10866159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B5"/>
    <w:rsid w:val="00045287"/>
    <w:rsid w:val="00064173"/>
    <w:rsid w:val="00074E33"/>
    <w:rsid w:val="000825CC"/>
    <w:rsid w:val="000D1CC4"/>
    <w:rsid w:val="000E0E7B"/>
    <w:rsid w:val="00100B84"/>
    <w:rsid w:val="001105A0"/>
    <w:rsid w:val="001211F0"/>
    <w:rsid w:val="00134467"/>
    <w:rsid w:val="0014532E"/>
    <w:rsid w:val="00150068"/>
    <w:rsid w:val="00152E38"/>
    <w:rsid w:val="00173F03"/>
    <w:rsid w:val="00177C21"/>
    <w:rsid w:val="001A4522"/>
    <w:rsid w:val="001B3C6B"/>
    <w:rsid w:val="001C0806"/>
    <w:rsid w:val="001D2B0C"/>
    <w:rsid w:val="001E48C7"/>
    <w:rsid w:val="001E4F61"/>
    <w:rsid w:val="001E74AC"/>
    <w:rsid w:val="001F4A01"/>
    <w:rsid w:val="00203BC8"/>
    <w:rsid w:val="0021576D"/>
    <w:rsid w:val="00232DDA"/>
    <w:rsid w:val="0028208F"/>
    <w:rsid w:val="00283B0E"/>
    <w:rsid w:val="00286265"/>
    <w:rsid w:val="00292BC3"/>
    <w:rsid w:val="002A45D1"/>
    <w:rsid w:val="002A7330"/>
    <w:rsid w:val="002B1EB5"/>
    <w:rsid w:val="002F0C33"/>
    <w:rsid w:val="003037AB"/>
    <w:rsid w:val="00312FED"/>
    <w:rsid w:val="0032237E"/>
    <w:rsid w:val="0033154F"/>
    <w:rsid w:val="003331A1"/>
    <w:rsid w:val="00337E62"/>
    <w:rsid w:val="0034145B"/>
    <w:rsid w:val="00352920"/>
    <w:rsid w:val="0037189F"/>
    <w:rsid w:val="0037488A"/>
    <w:rsid w:val="00380BFA"/>
    <w:rsid w:val="0039414D"/>
    <w:rsid w:val="00396309"/>
    <w:rsid w:val="003A000D"/>
    <w:rsid w:val="003F0D6D"/>
    <w:rsid w:val="003F21C2"/>
    <w:rsid w:val="004016A9"/>
    <w:rsid w:val="004117BC"/>
    <w:rsid w:val="00415DAF"/>
    <w:rsid w:val="00420D72"/>
    <w:rsid w:val="00423406"/>
    <w:rsid w:val="0044329B"/>
    <w:rsid w:val="0045083E"/>
    <w:rsid w:val="00453352"/>
    <w:rsid w:val="004574F9"/>
    <w:rsid w:val="004672B2"/>
    <w:rsid w:val="0047214F"/>
    <w:rsid w:val="00474164"/>
    <w:rsid w:val="00485CB5"/>
    <w:rsid w:val="00486AEE"/>
    <w:rsid w:val="004A2111"/>
    <w:rsid w:val="004A286C"/>
    <w:rsid w:val="004A69BE"/>
    <w:rsid w:val="004B5E9C"/>
    <w:rsid w:val="004C3CDD"/>
    <w:rsid w:val="004C4E74"/>
    <w:rsid w:val="004C7CEF"/>
    <w:rsid w:val="00502DBF"/>
    <w:rsid w:val="00520213"/>
    <w:rsid w:val="00523C8F"/>
    <w:rsid w:val="00524F2E"/>
    <w:rsid w:val="005463F7"/>
    <w:rsid w:val="005570FA"/>
    <w:rsid w:val="00560C92"/>
    <w:rsid w:val="005A5A44"/>
    <w:rsid w:val="005C6A3E"/>
    <w:rsid w:val="005D3945"/>
    <w:rsid w:val="005E01E9"/>
    <w:rsid w:val="005E222B"/>
    <w:rsid w:val="005F7E27"/>
    <w:rsid w:val="00604527"/>
    <w:rsid w:val="00620A67"/>
    <w:rsid w:val="00650EDF"/>
    <w:rsid w:val="00656EEB"/>
    <w:rsid w:val="00675A52"/>
    <w:rsid w:val="00681ED4"/>
    <w:rsid w:val="00685E64"/>
    <w:rsid w:val="006B0785"/>
    <w:rsid w:val="006B1E5D"/>
    <w:rsid w:val="006D7220"/>
    <w:rsid w:val="00700B82"/>
    <w:rsid w:val="00716D25"/>
    <w:rsid w:val="00734850"/>
    <w:rsid w:val="007401A1"/>
    <w:rsid w:val="00746CC7"/>
    <w:rsid w:val="00797979"/>
    <w:rsid w:val="007C2187"/>
    <w:rsid w:val="00801A26"/>
    <w:rsid w:val="00806F91"/>
    <w:rsid w:val="00854C58"/>
    <w:rsid w:val="008603F6"/>
    <w:rsid w:val="00872C89"/>
    <w:rsid w:val="008901BC"/>
    <w:rsid w:val="008A0D8D"/>
    <w:rsid w:val="008A2200"/>
    <w:rsid w:val="008E18D0"/>
    <w:rsid w:val="008E2B33"/>
    <w:rsid w:val="008F4D2B"/>
    <w:rsid w:val="00924A02"/>
    <w:rsid w:val="00934928"/>
    <w:rsid w:val="009716BA"/>
    <w:rsid w:val="009A4994"/>
    <w:rsid w:val="009B5195"/>
    <w:rsid w:val="009C2E09"/>
    <w:rsid w:val="009D3D6C"/>
    <w:rsid w:val="009D6EE6"/>
    <w:rsid w:val="009E1901"/>
    <w:rsid w:val="009E523A"/>
    <w:rsid w:val="009E7F31"/>
    <w:rsid w:val="00A162DC"/>
    <w:rsid w:val="00A21E7D"/>
    <w:rsid w:val="00A33B66"/>
    <w:rsid w:val="00A33C78"/>
    <w:rsid w:val="00A5554D"/>
    <w:rsid w:val="00A71CE1"/>
    <w:rsid w:val="00A739FC"/>
    <w:rsid w:val="00A77B6C"/>
    <w:rsid w:val="00A84C72"/>
    <w:rsid w:val="00A95A8E"/>
    <w:rsid w:val="00A972B1"/>
    <w:rsid w:val="00AA08F9"/>
    <w:rsid w:val="00AE2736"/>
    <w:rsid w:val="00AE53B6"/>
    <w:rsid w:val="00AF1632"/>
    <w:rsid w:val="00AF2456"/>
    <w:rsid w:val="00AF2E6B"/>
    <w:rsid w:val="00AF60C9"/>
    <w:rsid w:val="00B10A6D"/>
    <w:rsid w:val="00B414AB"/>
    <w:rsid w:val="00B716E1"/>
    <w:rsid w:val="00B82FDC"/>
    <w:rsid w:val="00B9605D"/>
    <w:rsid w:val="00B971EA"/>
    <w:rsid w:val="00BC1635"/>
    <w:rsid w:val="00BD5371"/>
    <w:rsid w:val="00BF10C2"/>
    <w:rsid w:val="00BF5A26"/>
    <w:rsid w:val="00C14C5F"/>
    <w:rsid w:val="00C2084F"/>
    <w:rsid w:val="00C20C43"/>
    <w:rsid w:val="00C401B8"/>
    <w:rsid w:val="00C46BFA"/>
    <w:rsid w:val="00C60A86"/>
    <w:rsid w:val="00C6316C"/>
    <w:rsid w:val="00C677EC"/>
    <w:rsid w:val="00C81E6B"/>
    <w:rsid w:val="00C81EB9"/>
    <w:rsid w:val="00C824EE"/>
    <w:rsid w:val="00CA7143"/>
    <w:rsid w:val="00CB07CB"/>
    <w:rsid w:val="00CC0892"/>
    <w:rsid w:val="00CC667B"/>
    <w:rsid w:val="00CC6B40"/>
    <w:rsid w:val="00CF65CB"/>
    <w:rsid w:val="00D42F1E"/>
    <w:rsid w:val="00D70253"/>
    <w:rsid w:val="00D7151F"/>
    <w:rsid w:val="00D74566"/>
    <w:rsid w:val="00D822F1"/>
    <w:rsid w:val="00D91560"/>
    <w:rsid w:val="00DA4885"/>
    <w:rsid w:val="00DB1C86"/>
    <w:rsid w:val="00DC31F4"/>
    <w:rsid w:val="00DE26B8"/>
    <w:rsid w:val="00DE7097"/>
    <w:rsid w:val="00E02E0B"/>
    <w:rsid w:val="00E21E11"/>
    <w:rsid w:val="00E22920"/>
    <w:rsid w:val="00E345B5"/>
    <w:rsid w:val="00E530B6"/>
    <w:rsid w:val="00E7414B"/>
    <w:rsid w:val="00E8060B"/>
    <w:rsid w:val="00E96BBA"/>
    <w:rsid w:val="00EB0E31"/>
    <w:rsid w:val="00EB519C"/>
    <w:rsid w:val="00EB5237"/>
    <w:rsid w:val="00EC6E15"/>
    <w:rsid w:val="00ED39BB"/>
    <w:rsid w:val="00F1120D"/>
    <w:rsid w:val="00F57713"/>
    <w:rsid w:val="00F71699"/>
    <w:rsid w:val="00FA605B"/>
    <w:rsid w:val="00FB005B"/>
    <w:rsid w:val="00FB3875"/>
    <w:rsid w:val="00FB5E28"/>
    <w:rsid w:val="00FC4D23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26C"/>
  <w15:chartTrackingRefBased/>
  <w15:docId w15:val="{39D4551A-0A1F-4FC2-B143-37998579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rsw"/>
    <w:basedOn w:val="Normalny"/>
    <w:next w:val="Normalny"/>
    <w:link w:val="Nagwek1Znak"/>
    <w:qFormat/>
    <w:rsid w:val="001D2B0C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5B9BD5"/>
      <w:sz w:val="20"/>
      <w:szCs w:val="32"/>
      <w:lang w:val="en-US" w:eastAsia="pl-PL"/>
    </w:rPr>
  </w:style>
  <w:style w:type="paragraph" w:styleId="Nagwek2">
    <w:name w:val="heading 2"/>
    <w:aliases w:val="Nagłówek 2 rsw"/>
    <w:basedOn w:val="Normalny"/>
    <w:next w:val="Normalny"/>
    <w:link w:val="Nagwek2Znak"/>
    <w:qFormat/>
    <w:rsid w:val="001D2B0C"/>
    <w:pPr>
      <w:keepNext/>
      <w:numPr>
        <w:ilvl w:val="1"/>
        <w:numId w:val="1"/>
      </w:numPr>
      <w:spacing w:before="360" w:after="3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color w:val="5B9BD5"/>
      <w:sz w:val="20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rsw Znak"/>
    <w:basedOn w:val="Domylnaczcionkaakapitu"/>
    <w:link w:val="Nagwek1"/>
    <w:rsid w:val="001D2B0C"/>
    <w:rPr>
      <w:rFonts w:ascii="Arial" w:eastAsia="Times New Roman" w:hAnsi="Arial" w:cs="Arial"/>
      <w:b/>
      <w:bCs/>
      <w:color w:val="5B9BD5"/>
      <w:sz w:val="20"/>
      <w:szCs w:val="32"/>
      <w:lang w:val="en-US" w:eastAsia="pl-PL"/>
    </w:rPr>
  </w:style>
  <w:style w:type="character" w:customStyle="1" w:styleId="Nagwek2Znak">
    <w:name w:val="Nagłówek 2 Znak"/>
    <w:aliases w:val="Nagłówek 2 rsw Znak"/>
    <w:basedOn w:val="Domylnaczcionkaakapitu"/>
    <w:link w:val="Nagwek2"/>
    <w:rsid w:val="001D2B0C"/>
    <w:rPr>
      <w:rFonts w:ascii="Times New Roman" w:eastAsia="Times New Roman" w:hAnsi="Times New Roman" w:cs="Arial"/>
      <w:b/>
      <w:bCs/>
      <w:iCs/>
      <w:color w:val="5B9BD5"/>
      <w:sz w:val="20"/>
      <w:szCs w:val="28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D2B0C"/>
  </w:style>
  <w:style w:type="paragraph" w:styleId="Nagwekspisutreci">
    <w:name w:val="TOC Heading"/>
    <w:aliases w:val="Spis treści rsw"/>
    <w:basedOn w:val="Nagwek1"/>
    <w:next w:val="Normalny"/>
    <w:uiPriority w:val="39"/>
    <w:unhideWhenUsed/>
    <w:qFormat/>
    <w:rsid w:val="001D2B0C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2B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2B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B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2B0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2B0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B0C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0C"/>
    <w:rPr>
      <w:rFonts w:ascii="Times New Roman" w:eastAsia="Calibri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D2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D2B0C"/>
    <w:rPr>
      <w:color w:val="0563C1"/>
      <w:u w:val="single"/>
    </w:rPr>
  </w:style>
  <w:style w:type="character" w:customStyle="1" w:styleId="Nierozpoznanawzmianka1">
    <w:name w:val="Nierozpoznana wzmianka1"/>
    <w:uiPriority w:val="99"/>
    <w:rsid w:val="001D2B0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0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0C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0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E6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A71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zarzad@powiatdr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9974-F0F3-4B6E-A547-ABE57021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MonikaB</cp:lastModifiedBy>
  <cp:revision>3</cp:revision>
  <cp:lastPrinted>2025-03-12T07:32:00Z</cp:lastPrinted>
  <dcterms:created xsi:type="dcterms:W3CDTF">2025-04-09T05:41:00Z</dcterms:created>
  <dcterms:modified xsi:type="dcterms:W3CDTF">2025-04-09T12:01:00Z</dcterms:modified>
</cp:coreProperties>
</file>