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24" w:rsidRPr="00972C24" w:rsidRDefault="00972C24" w:rsidP="00972C24">
      <w:pPr>
        <w:pStyle w:val="Akapitzlist"/>
        <w:numPr>
          <w:ilvl w:val="0"/>
          <w:numId w:val="2"/>
        </w:numPr>
        <w:spacing w:line="360" w:lineRule="auto"/>
        <w:jc w:val="both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bookmarkStart w:id="0" w:name="_GoBack"/>
      <w:bookmarkEnd w:id="0"/>
      <w:r w:rsidRPr="00972C24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Czy pośrednik w sprawie sprzedaży nieruchomości musi posiadać odpowiednią licencję?</w:t>
      </w:r>
    </w:p>
    <w:p w:rsidR="0083700E" w:rsidRDefault="00972C24" w:rsidP="00972C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 w:rsidRPr="009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świetle obowiązującego stanu prawnego biuro nieruchomości może zostać założone przez każdego. Ustawodawca nie wymaga w tym zakresie posiadania jakiejkolwiek licencji, pozwolenia lub </w:t>
      </w:r>
      <w:proofErr w:type="spellStart"/>
      <w:r w:rsidRPr="00972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koncesji.</w:t>
      </w:r>
      <w:r w:rsidRPr="00972C24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EFEFE"/>
        </w:rPr>
        <w:t>Pośrednicy</w:t>
      </w:r>
      <w:proofErr w:type="spellEnd"/>
      <w:r w:rsidRPr="00972C24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EFEFE"/>
        </w:rPr>
        <w:t xml:space="preserve"> w obrocie nieruchomościami nie muszą posiadać licencji do wykonywania zawodu pośrednika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M</w:t>
      </w:r>
      <w:r w:rsidRPr="00972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uszą natomiast prowadzić działalność gospodarczą (mieć firmę) i ubezpieczyć  się od odpowiedzialności cywilnej. Przepisy nie określają jednak sankcji za brak ubezpieczenia pośrednika. Na rynku nieruchomości można więc spotkać pośredników, którzy nie posiadają ubezpieczenia od odpowiedzialności cywilnej.</w:t>
      </w:r>
    </w:p>
    <w:p w:rsidR="00D54823" w:rsidRDefault="00972C24" w:rsidP="00D54823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</w:pPr>
      <w:r w:rsidRPr="0099398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br/>
      </w:r>
    </w:p>
    <w:p w:rsidR="00D54823" w:rsidRPr="00D54823" w:rsidRDefault="00972C24" w:rsidP="00D54823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98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2.</w:t>
      </w:r>
      <w:r w:rsidR="0099398A" w:rsidRPr="0099398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 xml:space="preserve"> Czy na rodziców można nałożyć mandat za niezaszczepienie dziecka?</w:t>
      </w:r>
      <w:r w:rsidR="0099398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br/>
      </w:r>
    </w:p>
    <w:p w:rsidR="00D54823" w:rsidRDefault="00D54823" w:rsidP="00D548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823">
        <w:rPr>
          <w:rFonts w:ascii="Times New Roman" w:hAnsi="Times New Roman" w:cs="Times New Roman"/>
          <w:color w:val="000000" w:themeColor="text1"/>
          <w:sz w:val="24"/>
          <w:szCs w:val="24"/>
        </w:rPr>
        <w:t>Rodzice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którzy </w:t>
      </w:r>
      <w:r w:rsidRPr="00D54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uchylają się od obowiązkowych szczepień ochronnych dzieci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mają otrzymywać mandaty. </w:t>
      </w:r>
      <w:r w:rsidRPr="00D54823">
        <w:rPr>
          <w:rFonts w:ascii="Times New Roman" w:hAnsi="Times New Roman" w:cs="Times New Roman"/>
          <w:color w:val="000000" w:themeColor="text1"/>
          <w:sz w:val="24"/>
          <w:szCs w:val="24"/>
        </w:rPr>
        <w:t>Takie zmiany planuje Ministerstwo Zdrowia.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Wstępnie takie p</w:t>
      </w:r>
      <w:r w:rsidRPr="00D54823">
        <w:rPr>
          <w:rFonts w:ascii="Times New Roman" w:hAnsi="Times New Roman" w:cs="Times New Roman"/>
          <w:color w:val="000000" w:themeColor="text1"/>
          <w:sz w:val="24"/>
          <w:szCs w:val="24"/>
        </w:rPr>
        <w:t>ostępowania mandatowe zastąpiłyby obecne kilkuetapowe postępowanie egzekucyjne na różnych szczeblach administracji rządowej. Przygotowywane są także zmiany, które mają uszczelnić system i wprowadzą elektroniczną kartę szczepień.</w:t>
      </w:r>
      <w:r w:rsidRPr="00D548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Obecnie w porządku prawnym, występuje o</w:t>
      </w:r>
      <w:r w:rsidRPr="00D54823">
        <w:rPr>
          <w:rFonts w:ascii="Times New Roman" w:hAnsi="Times New Roman" w:cs="Times New Roman"/>
          <w:color w:val="000000" w:themeColor="text1"/>
          <w:sz w:val="24"/>
          <w:szCs w:val="24"/>
        </w:rPr>
        <w:t>bowiązek szczepień ale nie ma zapisanych wprost sankcji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 unikanie szczepień. Aktualnie  w naszym kraju</w:t>
      </w:r>
      <w:r w:rsidRPr="00D54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szczepienia objęte Narodowym Programem Szczepień Ochronnych są obowiązkowe. Ich wymóg określa ustawa o zapobieganiu oraz zwalczaniu zakażeń i chorób zakaźnych u ludzi (art. 5 pkt 1 lit. b oraz art. 17).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Przedmiotowa </w:t>
      </w:r>
      <w:r w:rsidRPr="00D54823">
        <w:rPr>
          <w:rFonts w:ascii="Times New Roman" w:hAnsi="Times New Roman" w:cs="Times New Roman"/>
          <w:color w:val="000000" w:themeColor="text1"/>
          <w:sz w:val="24"/>
          <w:szCs w:val="24"/>
        </w:rPr>
        <w:t>ustawa nie przewiduje wprost sankcjonowania za odmowę szczepienia.</w:t>
      </w:r>
    </w:p>
    <w:p w:rsidR="00D54823" w:rsidRDefault="00D54823" w:rsidP="007540A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Należy jednak podkreślić, iż n</w:t>
      </w:r>
      <w:r w:rsidRPr="00D54823">
        <w:rPr>
          <w:rFonts w:ascii="Times New Roman" w:hAnsi="Times New Roman" w:cs="Times New Roman"/>
          <w:color w:val="000000" w:themeColor="text1"/>
          <w:sz w:val="24"/>
          <w:szCs w:val="24"/>
        </w:rPr>
        <w:t>a osoby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które uchylają s</w:t>
      </w:r>
      <w:r w:rsidRPr="00D54823">
        <w:rPr>
          <w:rFonts w:ascii="Times New Roman" w:hAnsi="Times New Roman" w:cs="Times New Roman"/>
          <w:color w:val="000000" w:themeColor="text1"/>
          <w:sz w:val="24"/>
          <w:szCs w:val="24"/>
        </w:rPr>
        <w:t>ię od szczepień może zostać nałożona kara pieniężna. Odbywa się to w ramach procedury administracyjnej, na podstawie art. 26 ustawy o postępowaniu egzekucyjnym w administracji. Postępowanie wszczyna i nadzoruje powiatowy państwowy inspektor sanitarny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54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Organy Państwowej Inspekcji Sanitarnej nie nakładają kar pieniężnych na rodziców czy opiekunów, którzy odmawiają wykonania obowiązkowych szczepień ochronnych dzieci. Państwowi Powiatowi Inspektorzy Sanitarni jako wierzyciele obowiązku, występują do wojewody z wnioskami o wszczęcie postępowania egzekucyjnego. Wojewoda na podstawie art. 119 i następnych z ustawy o postępowaniu egzekucyjnym w administracji nakłada na zobowiązanych do zaszczepienia dzieci grzywnę. </w:t>
      </w:r>
      <w:r w:rsidRPr="00D548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Wysokość grzywny określa art. 121 ustawy o postępowaniu egzekucyjnym w administracji.</w:t>
      </w:r>
      <w:r w:rsidRPr="00D548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548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54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Jej wysokość nie może przekroczyć 10 tys. zł jednorazowo lub 50 tys. zł, gdy nakładana jest </w:t>
      </w:r>
      <w:r w:rsidRPr="00D54823">
        <w:rPr>
          <w:rFonts w:ascii="Times New Roman" w:hAnsi="Times New Roman" w:cs="Times New Roman"/>
          <w:color w:val="000000" w:themeColor="text1"/>
          <w:sz w:val="24"/>
          <w:szCs w:val="24"/>
        </w:rPr>
        <w:t>wielokrotnie. Grzywnę może na rodziców odmawiających szczepienia nałożyć także wojewoda i także może zrobić to wielokrotnie.</w:t>
      </w:r>
    </w:p>
    <w:p w:rsidR="00D54823" w:rsidRDefault="00D54823" w:rsidP="00D548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40A5" w:rsidRPr="007540A5" w:rsidRDefault="007540A5" w:rsidP="007540A5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</w:pPr>
      <w:r w:rsidRPr="00754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rzecz wygraną na loterii można od razu sprzedać i nie płacić podatku?</w:t>
      </w:r>
    </w:p>
    <w:p w:rsidR="007540A5" w:rsidRDefault="007540A5" w:rsidP="007540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40A5" w:rsidRDefault="007540A5" w:rsidP="007540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Należy wskazać, iż o</w:t>
      </w:r>
      <w:r w:rsidRPr="007540A5">
        <w:rPr>
          <w:rFonts w:ascii="Times New Roman" w:hAnsi="Times New Roman" w:cs="Times New Roman"/>
          <w:color w:val="000000" w:themeColor="text1"/>
        </w:rPr>
        <w:t xml:space="preserve">dpłatne zbycie rzeczy przed upływem pół roku od nabycia generuje źródło przychodu. Sytuacja </w:t>
      </w:r>
      <w:r>
        <w:rPr>
          <w:rFonts w:ascii="Times New Roman" w:hAnsi="Times New Roman" w:cs="Times New Roman"/>
          <w:color w:val="000000" w:themeColor="text1"/>
        </w:rPr>
        <w:t xml:space="preserve">, gdy dana osoba wygrywa wartościową rzecz  na loterii  nie jest zbyt powszechna ale gdy już się komuś przydarzy , może być dość skomplikowana w przypadku, gdy taką rzecz ktoś będzie chciał szybko sprzedać. </w:t>
      </w:r>
    </w:p>
    <w:p w:rsidR="00CC5BA9" w:rsidRDefault="007540A5" w:rsidP="007540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Należy zaznaczyć, iż </w:t>
      </w:r>
      <w:r w:rsidRPr="007540A5">
        <w:rPr>
          <w:rFonts w:ascii="Times New Roman" w:hAnsi="Times New Roman" w:cs="Times New Roman"/>
          <w:color w:val="000000" w:themeColor="text1"/>
        </w:rPr>
        <w:t xml:space="preserve"> Dyrektor K</w:t>
      </w:r>
      <w:r>
        <w:rPr>
          <w:rFonts w:ascii="Times New Roman" w:hAnsi="Times New Roman" w:cs="Times New Roman"/>
          <w:color w:val="000000" w:themeColor="text1"/>
        </w:rPr>
        <w:t>rajowej Izby Skarbowej wyraźnie</w:t>
      </w:r>
      <w:r w:rsidRPr="007540A5">
        <w:rPr>
          <w:rFonts w:ascii="Times New Roman" w:hAnsi="Times New Roman" w:cs="Times New Roman"/>
          <w:color w:val="000000" w:themeColor="text1"/>
        </w:rPr>
        <w:t xml:space="preserve"> potwierdził niedawno w interpretacji, że nagrodę</w:t>
      </w:r>
      <w:r>
        <w:rPr>
          <w:rFonts w:ascii="Times New Roman" w:hAnsi="Times New Roman" w:cs="Times New Roman"/>
          <w:color w:val="000000" w:themeColor="text1"/>
        </w:rPr>
        <w:t xml:space="preserve"> taką</w:t>
      </w:r>
      <w:r w:rsidRPr="007540A5">
        <w:rPr>
          <w:rFonts w:ascii="Times New Roman" w:hAnsi="Times New Roman" w:cs="Times New Roman"/>
          <w:color w:val="000000" w:themeColor="text1"/>
        </w:rPr>
        <w:t xml:space="preserve"> można sprzedać bez podatku nawet przed upływem pół roku. Ważne</w:t>
      </w:r>
      <w:r>
        <w:rPr>
          <w:rFonts w:ascii="Times New Roman" w:hAnsi="Times New Roman" w:cs="Times New Roman"/>
          <w:color w:val="000000" w:themeColor="text1"/>
        </w:rPr>
        <w:t xml:space="preserve"> jest </w:t>
      </w:r>
      <w:r w:rsidRPr="007540A5">
        <w:rPr>
          <w:rFonts w:ascii="Times New Roman" w:hAnsi="Times New Roman" w:cs="Times New Roman"/>
          <w:color w:val="000000" w:themeColor="text1"/>
        </w:rPr>
        <w:t xml:space="preserve"> jednak, by cena sprzedaży</w:t>
      </w:r>
      <w:r>
        <w:rPr>
          <w:rFonts w:ascii="Times New Roman" w:hAnsi="Times New Roman" w:cs="Times New Roman"/>
          <w:color w:val="000000" w:themeColor="text1"/>
        </w:rPr>
        <w:t xml:space="preserve"> tej rzeczy</w:t>
      </w:r>
      <w:r w:rsidRPr="007540A5">
        <w:rPr>
          <w:rFonts w:ascii="Times New Roman" w:hAnsi="Times New Roman" w:cs="Times New Roman"/>
          <w:color w:val="000000" w:themeColor="text1"/>
        </w:rPr>
        <w:t xml:space="preserve"> była niższa od wartości nagrody z dnia nabycia, czyli wygrania w konkursie.</w:t>
      </w:r>
      <w:r w:rsidRPr="007540A5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</w:rPr>
        <w:t>Należy jednak pamiętać, iż oprócz sytuacji  opisanej powyżej</w:t>
      </w:r>
      <w:r w:rsidR="00001B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7540A5">
        <w:rPr>
          <w:rFonts w:ascii="Times New Roman" w:hAnsi="Times New Roman" w:cs="Times New Roman"/>
        </w:rPr>
        <w:t>przedaż rzeczy poza działalnością gospodarczą i dokonana przed upływem pół roku od dnia ich nabycia stanowi źródło przychodu z tytułu odpłatnego zbycia rzeczy ruchomych.</w:t>
      </w:r>
    </w:p>
    <w:p w:rsidR="00CC5BA9" w:rsidRPr="00CC5BA9" w:rsidRDefault="00CC5BA9" w:rsidP="00CC5BA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</w:rPr>
      </w:pPr>
    </w:p>
    <w:p w:rsidR="00CC5BA9" w:rsidRPr="00CC5BA9" w:rsidRDefault="00CC5BA9" w:rsidP="00CC5BA9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hd w:val="clear" w:color="auto" w:fill="FEFEFE"/>
        </w:rPr>
      </w:pPr>
      <w:r w:rsidRPr="00CC5BA9">
        <w:rPr>
          <w:rFonts w:ascii="Times New Roman" w:hAnsi="Times New Roman" w:cs="Times New Roman"/>
          <w:b/>
        </w:rPr>
        <w:t>Możliwość odbierania dziecka z przedszkola</w:t>
      </w:r>
      <w:r w:rsidR="00887F5E">
        <w:rPr>
          <w:rFonts w:ascii="Times New Roman" w:hAnsi="Times New Roman" w:cs="Times New Roman"/>
          <w:b/>
        </w:rPr>
        <w:t>/szkoły</w:t>
      </w:r>
      <w:r w:rsidRPr="00CC5BA9">
        <w:rPr>
          <w:rFonts w:ascii="Times New Roman" w:hAnsi="Times New Roman" w:cs="Times New Roman"/>
          <w:b/>
        </w:rPr>
        <w:t xml:space="preserve"> przez rodziców w sytuacji gdy rodzice są po rozwodzie.</w:t>
      </w:r>
      <w:r w:rsidR="007540A5" w:rsidRPr="00CC5BA9">
        <w:rPr>
          <w:rFonts w:ascii="Times New Roman" w:hAnsi="Times New Roman" w:cs="Times New Roman"/>
          <w:b/>
        </w:rPr>
        <w:t xml:space="preserve"> </w:t>
      </w:r>
    </w:p>
    <w:p w:rsidR="00CC5BA9" w:rsidRDefault="00CC5BA9" w:rsidP="00CC5BA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</w:rPr>
      </w:pPr>
    </w:p>
    <w:p w:rsidR="00887F5E" w:rsidRDefault="00887F5E" w:rsidP="00887F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Generalnie  każde z rodziców ma prawo do odbioru dziecka z przedszkola/szkoły , a także </w:t>
      </w:r>
      <w:r w:rsidR="009D2C69" w:rsidRPr="00887F5E">
        <w:rPr>
          <w:rFonts w:ascii="Times New Roman" w:hAnsi="Times New Roman" w:cs="Times New Roman"/>
          <w:sz w:val="24"/>
          <w:szCs w:val="24"/>
        </w:rPr>
        <w:t xml:space="preserve"> mieć wgląd w jego oceny. Nie ma znaczenia, czy jedno z rodziców poinformowało szkołę lub przedszkole, by tego nie robiła, chyba że jako podstawę wskazało orzeczenie sądu ograniczają</w:t>
      </w:r>
      <w:r>
        <w:rPr>
          <w:rFonts w:ascii="Times New Roman" w:hAnsi="Times New Roman" w:cs="Times New Roman"/>
          <w:sz w:val="24"/>
          <w:szCs w:val="24"/>
        </w:rPr>
        <w:t xml:space="preserve">ce władzę rodzicielską. W </w:t>
      </w:r>
      <w:r w:rsidR="009D2C69" w:rsidRPr="00887F5E">
        <w:rPr>
          <w:rFonts w:ascii="Times New Roman" w:hAnsi="Times New Roman" w:cs="Times New Roman"/>
          <w:sz w:val="24"/>
          <w:szCs w:val="24"/>
        </w:rPr>
        <w:t xml:space="preserve"> sytuacji</w:t>
      </w:r>
      <w:r>
        <w:rPr>
          <w:rFonts w:ascii="Times New Roman" w:hAnsi="Times New Roman" w:cs="Times New Roman"/>
          <w:sz w:val="24"/>
          <w:szCs w:val="24"/>
        </w:rPr>
        <w:t xml:space="preserve"> istnienia takiego orzeczenia, </w:t>
      </w:r>
      <w:r w:rsidR="009D2C69" w:rsidRPr="00887F5E">
        <w:rPr>
          <w:rFonts w:ascii="Times New Roman" w:hAnsi="Times New Roman" w:cs="Times New Roman"/>
          <w:sz w:val="24"/>
          <w:szCs w:val="24"/>
        </w:rPr>
        <w:t>odpowiedni dokument należy dostarczyć do</w:t>
      </w:r>
      <w:r>
        <w:rPr>
          <w:rFonts w:ascii="Times New Roman" w:hAnsi="Times New Roman" w:cs="Times New Roman"/>
          <w:sz w:val="24"/>
          <w:szCs w:val="24"/>
        </w:rPr>
        <w:t xml:space="preserve"> odpowiedniej placówki oświatowej, do której uczęszcza dziecko.</w:t>
      </w:r>
    </w:p>
    <w:p w:rsidR="00887F5E" w:rsidRDefault="00887F5E" w:rsidP="00887F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gdy rodzice dziecka ( przedszkolaka lub ucznia)  są po rozwodzie i dodatkowo istnieje między nimi znaczny konflikt, często jest to spore wyzwanie dla szkoły lub przedszkola dziecka</w:t>
      </w:r>
      <w:r w:rsidR="009D2C69" w:rsidRPr="00887F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Dochodzi bowiem czasami do sytuacji, gdy jedno z rodziców zastrzega</w:t>
      </w:r>
      <w:r w:rsidR="009D2C69" w:rsidRPr="00887F5E">
        <w:rPr>
          <w:rFonts w:ascii="Times New Roman" w:hAnsi="Times New Roman" w:cs="Times New Roman"/>
          <w:sz w:val="24"/>
          <w:szCs w:val="24"/>
        </w:rPr>
        <w:t>, iż drugie z rod</w:t>
      </w:r>
      <w:r>
        <w:rPr>
          <w:rFonts w:ascii="Times New Roman" w:hAnsi="Times New Roman" w:cs="Times New Roman"/>
          <w:sz w:val="24"/>
          <w:szCs w:val="24"/>
        </w:rPr>
        <w:t>ziców nie może odbierać dziecka lub  żąda</w:t>
      </w:r>
      <w:r w:rsidR="009D2C69" w:rsidRPr="00887F5E">
        <w:rPr>
          <w:rFonts w:ascii="Times New Roman" w:hAnsi="Times New Roman" w:cs="Times New Roman"/>
          <w:sz w:val="24"/>
          <w:szCs w:val="24"/>
        </w:rPr>
        <w:t xml:space="preserve"> robienia notatek z wizyt drugiego z rodziców lub</w:t>
      </w:r>
      <w:r>
        <w:rPr>
          <w:rFonts w:ascii="Times New Roman" w:hAnsi="Times New Roman" w:cs="Times New Roman"/>
          <w:sz w:val="24"/>
          <w:szCs w:val="24"/>
        </w:rPr>
        <w:t xml:space="preserve"> kwestionuje zasadność uczęszczania dziecka do danej placówki. W sytuacji, gdy </w:t>
      </w:r>
      <w:r w:rsidR="009D2C69" w:rsidRPr="00887F5E">
        <w:rPr>
          <w:rFonts w:ascii="Times New Roman" w:hAnsi="Times New Roman" w:cs="Times New Roman"/>
          <w:sz w:val="24"/>
          <w:szCs w:val="24"/>
        </w:rPr>
        <w:t xml:space="preserve"> sąd z jakiegoś powodu zdecydował o ograniczeniu władzy jednego z rodziców, istotna z </w:t>
      </w:r>
      <w:r w:rsidR="009D2C69" w:rsidRPr="00887F5E">
        <w:rPr>
          <w:rFonts w:ascii="Times New Roman" w:hAnsi="Times New Roman" w:cs="Times New Roman"/>
          <w:sz w:val="24"/>
          <w:szCs w:val="24"/>
        </w:rPr>
        <w:lastRenderedPageBreak/>
        <w:t>punktu widzenia szkoły</w:t>
      </w:r>
      <w:r>
        <w:rPr>
          <w:rFonts w:ascii="Times New Roman" w:hAnsi="Times New Roman" w:cs="Times New Roman"/>
          <w:sz w:val="24"/>
          <w:szCs w:val="24"/>
        </w:rPr>
        <w:t>/przedszkola</w:t>
      </w:r>
      <w:r w:rsidR="009D2C69" w:rsidRPr="00887F5E">
        <w:rPr>
          <w:rFonts w:ascii="Times New Roman" w:hAnsi="Times New Roman" w:cs="Times New Roman"/>
          <w:sz w:val="24"/>
          <w:szCs w:val="24"/>
        </w:rPr>
        <w:t xml:space="preserve"> będzie treść </w:t>
      </w:r>
      <w:r>
        <w:rPr>
          <w:rFonts w:ascii="Times New Roman" w:hAnsi="Times New Roman" w:cs="Times New Roman"/>
          <w:sz w:val="24"/>
          <w:szCs w:val="24"/>
        </w:rPr>
        <w:t xml:space="preserve"> tego </w:t>
      </w:r>
      <w:r w:rsidR="009D2C69" w:rsidRPr="00887F5E">
        <w:rPr>
          <w:rFonts w:ascii="Times New Roman" w:hAnsi="Times New Roman" w:cs="Times New Roman"/>
          <w:sz w:val="24"/>
          <w:szCs w:val="24"/>
        </w:rPr>
        <w:t xml:space="preserve">orzeczenia – </w:t>
      </w:r>
      <w:r>
        <w:rPr>
          <w:rFonts w:ascii="Times New Roman" w:hAnsi="Times New Roman" w:cs="Times New Roman"/>
          <w:sz w:val="24"/>
          <w:szCs w:val="24"/>
        </w:rPr>
        <w:t xml:space="preserve">ponieważ </w:t>
      </w:r>
      <w:r w:rsidR="009D2C69" w:rsidRPr="00887F5E">
        <w:rPr>
          <w:rFonts w:ascii="Times New Roman" w:hAnsi="Times New Roman" w:cs="Times New Roman"/>
          <w:sz w:val="24"/>
          <w:szCs w:val="24"/>
        </w:rPr>
        <w:t>będą w nim sprecyzowane decyzje, w których podejmowaniu uczestniczy ten rodzic, np. będzie wskazane, czy współdecyduje o wyborze szkoły</w:t>
      </w:r>
      <w:r>
        <w:rPr>
          <w:rFonts w:ascii="Times New Roman" w:hAnsi="Times New Roman" w:cs="Times New Roman"/>
          <w:sz w:val="24"/>
          <w:szCs w:val="24"/>
        </w:rPr>
        <w:t>/przedszkola.</w:t>
      </w:r>
    </w:p>
    <w:p w:rsidR="008826A3" w:rsidRDefault="00887F5E" w:rsidP="00887F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 w sytuacji g</w:t>
      </w:r>
      <w:r w:rsidRPr="00887F5E">
        <w:rPr>
          <w:rFonts w:ascii="Times New Roman" w:hAnsi="Times New Roman" w:cs="Times New Roman"/>
          <w:sz w:val="24"/>
          <w:szCs w:val="24"/>
        </w:rPr>
        <w:t>dy władzę rodzicielską zachowali oboje rodzice, to co do zasady o istotnych sprawach</w:t>
      </w:r>
      <w:r>
        <w:rPr>
          <w:rFonts w:ascii="Times New Roman" w:hAnsi="Times New Roman" w:cs="Times New Roman"/>
          <w:sz w:val="24"/>
          <w:szCs w:val="24"/>
        </w:rPr>
        <w:t xml:space="preserve"> dziecka rozstrzygają wspólnie , stanowi o tym przepis </w:t>
      </w:r>
      <w:r w:rsidRPr="00887F5E">
        <w:rPr>
          <w:rFonts w:ascii="Times New Roman" w:hAnsi="Times New Roman" w:cs="Times New Roman"/>
          <w:sz w:val="24"/>
          <w:szCs w:val="24"/>
        </w:rPr>
        <w:t>art. 97 § 2</w:t>
      </w:r>
      <w:r>
        <w:rPr>
          <w:rFonts w:ascii="Times New Roman" w:hAnsi="Times New Roman" w:cs="Times New Roman"/>
          <w:sz w:val="24"/>
          <w:szCs w:val="24"/>
        </w:rPr>
        <w:t xml:space="preserve"> kodeksu rodzinnego i opiekuńczego.</w:t>
      </w:r>
      <w:r w:rsidRPr="00887F5E">
        <w:rPr>
          <w:rFonts w:ascii="Times New Roman" w:hAnsi="Times New Roman" w:cs="Times New Roman"/>
          <w:sz w:val="24"/>
          <w:szCs w:val="24"/>
        </w:rPr>
        <w:t xml:space="preserve"> Za istotne sprawy uznaje się m.in.: sprawy związane z miejscem pobytu dziecka, zmianę obywatelstwa przez dziecko, wyjazd za granicę, wydanie paszportu, zmianę szkoły, kierunek i zakres wykształcenia, wybór zawodu i sposobów leczenia</w:t>
      </w:r>
      <w:r w:rsidR="008826A3">
        <w:rPr>
          <w:rFonts w:ascii="Times New Roman" w:hAnsi="Times New Roman" w:cs="Times New Roman"/>
          <w:sz w:val="24"/>
          <w:szCs w:val="24"/>
        </w:rPr>
        <w:t>.</w:t>
      </w:r>
      <w:r w:rsidR="008826A3" w:rsidRPr="00887F5E">
        <w:rPr>
          <w:rFonts w:ascii="Times New Roman" w:hAnsi="Times New Roman" w:cs="Times New Roman"/>
          <w:sz w:val="24"/>
          <w:szCs w:val="24"/>
        </w:rPr>
        <w:t xml:space="preserve"> </w:t>
      </w:r>
      <w:r w:rsidRPr="00887F5E">
        <w:rPr>
          <w:rFonts w:ascii="Times New Roman" w:hAnsi="Times New Roman" w:cs="Times New Roman"/>
          <w:sz w:val="24"/>
          <w:szCs w:val="24"/>
        </w:rPr>
        <w:br/>
      </w:r>
      <w:r w:rsidR="008826A3">
        <w:rPr>
          <w:rFonts w:ascii="Times New Roman" w:hAnsi="Times New Roman" w:cs="Times New Roman"/>
          <w:sz w:val="24"/>
          <w:szCs w:val="24"/>
        </w:rPr>
        <w:t xml:space="preserve">Zdarza się czasami, iż </w:t>
      </w:r>
      <w:r w:rsidRPr="00887F5E">
        <w:rPr>
          <w:rFonts w:ascii="Times New Roman" w:hAnsi="Times New Roman" w:cs="Times New Roman"/>
          <w:sz w:val="24"/>
          <w:szCs w:val="24"/>
        </w:rPr>
        <w:t>rodzic składa w</w:t>
      </w:r>
      <w:r w:rsidR="008826A3">
        <w:rPr>
          <w:rFonts w:ascii="Times New Roman" w:hAnsi="Times New Roman" w:cs="Times New Roman"/>
          <w:sz w:val="24"/>
          <w:szCs w:val="24"/>
        </w:rPr>
        <w:t xml:space="preserve"> przedszkolu/</w:t>
      </w:r>
      <w:r w:rsidRPr="00887F5E">
        <w:rPr>
          <w:rFonts w:ascii="Times New Roman" w:hAnsi="Times New Roman" w:cs="Times New Roman"/>
          <w:sz w:val="24"/>
          <w:szCs w:val="24"/>
        </w:rPr>
        <w:t xml:space="preserve"> szkole pisemne oświadczenie, w którym zaznacza, że bez jego zgody drugie z rodziców nie może przenieść dziecka do innej placówki. Mając taką informację, szkoła powinna odmówić przeniesienia dziecka, gdy wystąpi o to tylko jedno z rodziców. Również oboje rodzice powinni decydować o tym, c</w:t>
      </w:r>
      <w:r w:rsidR="008826A3">
        <w:rPr>
          <w:rFonts w:ascii="Times New Roman" w:hAnsi="Times New Roman" w:cs="Times New Roman"/>
          <w:sz w:val="24"/>
          <w:szCs w:val="24"/>
        </w:rPr>
        <w:t>zy dziecko uczęszcza na religię czy etykę.</w:t>
      </w:r>
    </w:p>
    <w:p w:rsidR="00887F5E" w:rsidRDefault="00887F5E" w:rsidP="00887F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7F5E">
        <w:rPr>
          <w:rFonts w:ascii="Times New Roman" w:hAnsi="Times New Roman" w:cs="Times New Roman"/>
          <w:sz w:val="24"/>
          <w:szCs w:val="24"/>
        </w:rPr>
        <w:br/>
      </w:r>
    </w:p>
    <w:p w:rsidR="00887F5E" w:rsidRDefault="00887F5E" w:rsidP="00887F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7F5E" w:rsidRPr="00887F5E" w:rsidRDefault="00887F5E" w:rsidP="00887F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87F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r.pr. Magdalena Piech</w:t>
      </w:r>
    </w:p>
    <w:sectPr w:rsidR="00887F5E" w:rsidRPr="00887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CC9"/>
    <w:multiLevelType w:val="hybridMultilevel"/>
    <w:tmpl w:val="51F8EE6A"/>
    <w:lvl w:ilvl="0" w:tplc="8ABE2E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D846E4"/>
    <w:multiLevelType w:val="hybridMultilevel"/>
    <w:tmpl w:val="89EA4D1A"/>
    <w:lvl w:ilvl="0" w:tplc="9A762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447C2B"/>
    <w:multiLevelType w:val="hybridMultilevel"/>
    <w:tmpl w:val="7800F258"/>
    <w:lvl w:ilvl="0" w:tplc="279A953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F9"/>
    <w:rsid w:val="00001B09"/>
    <w:rsid w:val="00457EF9"/>
    <w:rsid w:val="007540A5"/>
    <w:rsid w:val="0083700E"/>
    <w:rsid w:val="008826A3"/>
    <w:rsid w:val="00887F5E"/>
    <w:rsid w:val="00972C24"/>
    <w:rsid w:val="0099398A"/>
    <w:rsid w:val="009D2C69"/>
    <w:rsid w:val="00CC5BA9"/>
    <w:rsid w:val="00D54823"/>
    <w:rsid w:val="00F1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2C24"/>
    <w:rPr>
      <w:b/>
      <w:bCs/>
    </w:rPr>
  </w:style>
  <w:style w:type="paragraph" w:styleId="Akapitzlist">
    <w:name w:val="List Paragraph"/>
    <w:basedOn w:val="Normalny"/>
    <w:uiPriority w:val="34"/>
    <w:qFormat/>
    <w:rsid w:val="00972C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48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2C24"/>
    <w:rPr>
      <w:b/>
      <w:bCs/>
    </w:rPr>
  </w:style>
  <w:style w:type="paragraph" w:styleId="Akapitzlist">
    <w:name w:val="List Paragraph"/>
    <w:basedOn w:val="Normalny"/>
    <w:uiPriority w:val="34"/>
    <w:qFormat/>
    <w:rsid w:val="00972C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4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Justyna</cp:lastModifiedBy>
  <cp:revision>2</cp:revision>
  <dcterms:created xsi:type="dcterms:W3CDTF">2023-10-26T09:52:00Z</dcterms:created>
  <dcterms:modified xsi:type="dcterms:W3CDTF">2023-10-26T09:52:00Z</dcterms:modified>
</cp:coreProperties>
</file>