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1" w:rsidRPr="00AF37BD" w:rsidRDefault="00C3044A" w:rsidP="00AF37B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F3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Czy dozwolone jest zawarcie przez przedsiębiorcę z konsumentem umowy pożyczki podczas pokazu lub wycieczki?</w:t>
      </w:r>
    </w:p>
    <w:p w:rsidR="00C3044A" w:rsidRPr="00AF37BD" w:rsidRDefault="006538C0" w:rsidP="006538C0">
      <w:pPr>
        <w:pStyle w:val="NormalnyWeb"/>
        <w:shd w:val="clear" w:color="auto" w:fill="FFFFFF"/>
        <w:spacing w:before="0" w:beforeAutospacing="0" w:after="360" w:afterAutospacing="0" w:line="360" w:lineRule="auto"/>
        <w:ind w:right="-284"/>
        <w:jc w:val="both"/>
        <w:rPr>
          <w:color w:val="000000" w:themeColor="text1"/>
        </w:rPr>
      </w:pPr>
      <w:r>
        <w:rPr>
          <w:rStyle w:val="podkreslenie"/>
          <w:bCs/>
          <w:color w:val="000000" w:themeColor="text1"/>
        </w:rPr>
        <w:t>Zgodnie z obowiązującymi przepisami</w:t>
      </w:r>
      <w:r w:rsidR="00C3044A" w:rsidRPr="00AF37BD">
        <w:rPr>
          <w:rStyle w:val="podkreslenie"/>
          <w:bCs/>
          <w:color w:val="000000" w:themeColor="text1"/>
        </w:rPr>
        <w:t xml:space="preserve"> umowa </w:t>
      </w:r>
      <w:r w:rsidR="00C3044A" w:rsidRPr="00AF37BD">
        <w:rPr>
          <w:rStyle w:val="Pogrubienie"/>
          <w:b w:val="0"/>
          <w:color w:val="000000" w:themeColor="text1"/>
        </w:rPr>
        <w:t>dotycząca usług finansowych nie może być zawarta podczas pokazu lub wycieczki</w:t>
      </w:r>
      <w:r w:rsidR="00C3044A" w:rsidRPr="00AF37BD">
        <w:rPr>
          <w:b/>
          <w:color w:val="000000" w:themeColor="text1"/>
        </w:rPr>
        <w:t>.</w:t>
      </w:r>
      <w:r w:rsidR="00C3044A" w:rsidRPr="00AF37BD">
        <w:rPr>
          <w:color w:val="000000" w:themeColor="text1"/>
        </w:rPr>
        <w:t xml:space="preserve"> Zakaz ten obejmuje także zawarcie umowy dotyczącej usług finansowych związanej bezpośrednio z ofertą złożoną podczas pokazu lub wycieczki w celu realizacji umowy sprzedaży. </w:t>
      </w:r>
      <w:r w:rsidR="00C3044A" w:rsidRPr="00AF37BD">
        <w:rPr>
          <w:rStyle w:val="Pogrubienie"/>
          <w:b w:val="0"/>
          <w:color w:val="000000" w:themeColor="text1"/>
        </w:rPr>
        <w:t>W tej sytuacji umowa będzie nieważna.</w:t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  <w:t>Należy jednak zaznaczyć, iż m</w:t>
      </w:r>
      <w:r w:rsidR="00C3044A" w:rsidRPr="00AF37BD">
        <w:rPr>
          <w:color w:val="000000" w:themeColor="text1"/>
        </w:rPr>
        <w:t>ożliwe jest zawarcie umowy dotyczącej usług finansowych podczas pokazów w miejscu zamieszkania lub zwykłego pobytu konsumenta, organizowanych na jego wyraźne zaproszenie.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Podstawa prawna to przepis </w:t>
      </w:r>
      <w:r w:rsidR="00C3044A" w:rsidRPr="00AF37BD">
        <w:rPr>
          <w:color w:val="000000" w:themeColor="text1"/>
        </w:rPr>
        <w:t xml:space="preserve"> art. 7ab ustawy o prawach konsumenta</w:t>
      </w:r>
      <w:r>
        <w:rPr>
          <w:color w:val="000000" w:themeColor="text1"/>
        </w:rPr>
        <w:t>.</w:t>
      </w:r>
    </w:p>
    <w:p w:rsidR="00BA4B7A" w:rsidRPr="00AF37BD" w:rsidRDefault="00BA4B7A" w:rsidP="00AF37B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</w:p>
    <w:p w:rsidR="00BA4B7A" w:rsidRPr="00AF37BD" w:rsidRDefault="00BA4B7A" w:rsidP="00AF37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F37B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F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. Czy mam prawo odstąpić od umowy dotyczącej usług zdrowotnych zawartej poza lokalem przedsiębiorstwa?</w:t>
      </w:r>
    </w:p>
    <w:p w:rsidR="00BA4B7A" w:rsidRPr="00BA4B7A" w:rsidRDefault="006538C0" w:rsidP="00AF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Tak, każdy  </w:t>
      </w:r>
      <w:r w:rsidR="00BA4B7A" w:rsidRPr="00BA4B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konsument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może odstąpić od umowy dotyczącej usług zdrowotnych zawartej poza lokalem przedsiębiorstwa </w:t>
      </w:r>
      <w:r w:rsidR="00BA4B7A" w:rsidRPr="00BA4B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terminie 14 dni od daty zawarcia tej umowy</w:t>
      </w:r>
      <w:r w:rsidR="00BA4B7A" w:rsidRPr="00BA4B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Nie dotyczy to jednak produktów leczniczych, środków spożywczych specjalnego przeznaczenia żywieniowego i wyrobów medycznych wydanych z apteki.</w:t>
      </w:r>
    </w:p>
    <w:p w:rsidR="00BA4B7A" w:rsidRPr="00AF37BD" w:rsidRDefault="00BA4B7A" w:rsidP="00AF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Pr="00577FB9" w:rsidRDefault="00BA4B7A" w:rsidP="00AF37BD">
      <w:pPr>
        <w:pStyle w:val="Nagwek1"/>
        <w:spacing w:before="0" w:after="150" w:line="360" w:lineRule="auto"/>
        <w:jc w:val="both"/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</w:pPr>
      <w:r w:rsidRP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77FB9" w:rsidRP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577FB9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  <w:t>Czy rozwód z orzekaniem o winie trwa dłużej?</w:t>
      </w:r>
    </w:p>
    <w:p w:rsidR="00BA4B7A" w:rsidRPr="00BA4B7A" w:rsidRDefault="00577FB9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Generalnie każde p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ostępowanie rozwodowe z orzekaniem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winie 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trwa o wiele dłużej niż w przypadku żądania rozwodu bez orzekania o winie dlatego, że trzeba  przeprowadzić szereg dowodów potwierdzających winę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głównie zeznania świadków. </w:t>
      </w:r>
    </w:p>
    <w:p w:rsidR="00BA4B7A" w:rsidRPr="00AF37BD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Zwykle 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ozwód bez 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orzekania o winie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orzekany jest na jednym posiedzeniu sądu, a z orzekaniem o winie może trwać kilka rozpraw, które są wyznaczane zazwyczaj co 2-3 miesiące a czasem nawet co pół roku.</w:t>
      </w:r>
    </w:p>
    <w:p w:rsidR="00BA4B7A" w:rsidRPr="00AF37BD" w:rsidRDefault="00BA4B7A" w:rsidP="00AF37BD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Pr="00AF37BD" w:rsidRDefault="00BA4B7A" w:rsidP="00AF37BD">
      <w:pPr>
        <w:pStyle w:val="Nagwek1"/>
        <w:spacing w:before="0" w:after="15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AF37BD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00577FB9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  <w:t>Co oznacza, że nastąpił trwały i zupełny rozkład pożycia małżeńskiego?</w:t>
      </w:r>
    </w:p>
    <w:p w:rsidR="00BA4B7A" w:rsidRPr="00BA4B7A" w:rsidRDefault="00577FB9" w:rsidP="00577FB9">
      <w:pPr>
        <w:spacing w:after="15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Podstawową przesłanką orzeczenia rozwodu jest  nastąpienie zupełnego i trwałego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rozkład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pożycia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małżeńskiego. Rozkład jest 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zupełny,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 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 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nie istnieje między małżonkami więź 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duchowa, fizyczna ani gospodarcza 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więc gdy małżeństwo całkowicie przestaje funkcjonować.</w:t>
      </w:r>
    </w:p>
    <w:p w:rsidR="00BA4B7A" w:rsidRPr="00BA4B7A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jednak przy zupełnym braku więzi duchowej i fizycznej, pozostały pewne elementy więzi gospodarczej, to rozkład pożycia może być uznany przez Sąd za zupełny.</w:t>
      </w:r>
    </w:p>
    <w:p w:rsidR="00BA4B7A" w:rsidRPr="00AF37BD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Natomiast nawet sporadyczne tylko stosunki fizyczne między małżonkami z reguły będą wskazywać, że rozkład pożycia nie jest jeszcze zupełny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Rozkład pożycia małżeńskiego jest </w:t>
      </w:r>
      <w:r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trwały, 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z doświadczenia możemy dojść do wniosku że w tej konkretnej sytuacji małżeństwa, powrót do wspólnego pożycia jest niemożliwy. Upływ czasu, nie jest konieczną przesłanką trwałości</w:t>
      </w:r>
    </w:p>
    <w:p w:rsidR="00577FB9" w:rsidRDefault="00577FB9" w:rsidP="00AF37BD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F37BD" w:rsidRPr="00AF37BD" w:rsidRDefault="00577FB9" w:rsidP="00AF37BD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 </w:t>
      </w:r>
      <w:r w:rsidR="00AF37BD" w:rsidRPr="00AF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Kiedy i jak można uzyskać paszport tymczasowy na lotnisku?</w:t>
      </w:r>
    </w:p>
    <w:p w:rsidR="00AF37BD" w:rsidRPr="00AF37BD" w:rsidRDefault="00AF37BD" w:rsidP="00AF37BD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Paszport tymczasowy na Lotnisku Chopina w Warszawie można uzyskać w następujących sytuacjach, jeśli:</w:t>
      </w:r>
    </w:p>
    <w:p w:rsidR="00AF37BD" w:rsidRP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utracono/zapomniano paszportu/ dowodu osobistego, albo został on ukradziony;</w:t>
      </w:r>
    </w:p>
    <w:p w:rsidR="00AF37BD" w:rsidRP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posiadany paszport lub dowód utracił ważność;</w:t>
      </w:r>
    </w:p>
    <w:p w:rsid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pasażer dysponuje ważnym biletem lotniczym.</w:t>
      </w:r>
    </w:p>
    <w:p w:rsidR="00577FB9" w:rsidRPr="00AF37BD" w:rsidRDefault="00577FB9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37BD" w:rsidRPr="00AF37BD" w:rsidRDefault="00AF37BD" w:rsidP="00577FB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wyrobienia takiego paszportu dla dzieci, niezbędna jest zgoda obojga rodziców.</w:t>
      </w:r>
      <w:r w:rsidR="00577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Istotne jest, iż p</w:t>
      </w: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 złożeniu wniosku należy okazać ważny bilet lotniczy. Na miejscu pracownik punktu sprawdza tożsamość osoby ubiegającej się o paszport. Wykonuje się też zdjęcie niezbędne do wyrobienia dokumentu. </w:t>
      </w:r>
      <w:r w:rsidR="00577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wydanie paszportu tymczasowego jest generowany elektronicznie, a następnie podpisywany na urządzeniu do składania podpisu.</w:t>
      </w:r>
    </w:p>
    <w:p w:rsidR="00AF37BD" w:rsidRPr="00AF37BD" w:rsidRDefault="00AF37BD" w:rsidP="00AF37BD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Opłata za wyrobienie paszportu tymczasowego wynosi 30 zł. Warto pamiętać, iż płatność odbywa się wyłącznie kartą płatniczą w punkcie na Lotnisku Chopina w Warszawie. </w:t>
      </w:r>
    </w:p>
    <w:p w:rsidR="00AF37BD" w:rsidRPr="00AF37BD" w:rsidRDefault="00AF37BD" w:rsidP="00AF37B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Paszport tymczasowy jest ważny tylko przez określony czas, w zależności od indywidualnej sytuacji. Maksymalny termin wynosi 365 dni.</w:t>
      </w:r>
    </w:p>
    <w:p w:rsidR="00BA4B7A" w:rsidRDefault="00BA4B7A" w:rsidP="00BA4B7A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Default="00BA4B7A" w:rsidP="00BA4B7A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3044A" w:rsidRPr="00BA4B7A" w:rsidRDefault="002C7C60" w:rsidP="00BA4B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r.pr. Magdalena Piech</w:t>
      </w:r>
    </w:p>
    <w:sectPr w:rsidR="00C3044A" w:rsidRPr="00BA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9D5"/>
    <w:multiLevelType w:val="multilevel"/>
    <w:tmpl w:val="229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34A5A"/>
    <w:multiLevelType w:val="hybridMultilevel"/>
    <w:tmpl w:val="D0F49DD4"/>
    <w:lvl w:ilvl="0" w:tplc="FD786D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D"/>
    <w:rsid w:val="002C7C60"/>
    <w:rsid w:val="00577FB9"/>
    <w:rsid w:val="006538C0"/>
    <w:rsid w:val="00AF37BD"/>
    <w:rsid w:val="00BA4B7A"/>
    <w:rsid w:val="00C06392"/>
    <w:rsid w:val="00C073F0"/>
    <w:rsid w:val="00C3044A"/>
    <w:rsid w:val="00CB0F91"/>
    <w:rsid w:val="00E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44A"/>
    <w:rPr>
      <w:b/>
      <w:bCs/>
    </w:rPr>
  </w:style>
  <w:style w:type="character" w:customStyle="1" w:styleId="podkreslenie">
    <w:name w:val="podkreslenie"/>
    <w:basedOn w:val="Domylnaczcionkaakapitu"/>
    <w:rsid w:val="00C3044A"/>
  </w:style>
  <w:style w:type="character" w:customStyle="1" w:styleId="Nagwek1Znak">
    <w:name w:val="Nagłówek 1 Znak"/>
    <w:basedOn w:val="Domylnaczcionkaakapitu"/>
    <w:link w:val="Nagwek1"/>
    <w:uiPriority w:val="9"/>
    <w:rsid w:val="00BA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44A"/>
    <w:rPr>
      <w:b/>
      <w:bCs/>
    </w:rPr>
  </w:style>
  <w:style w:type="character" w:customStyle="1" w:styleId="podkreslenie">
    <w:name w:val="podkreslenie"/>
    <w:basedOn w:val="Domylnaczcionkaakapitu"/>
    <w:rsid w:val="00C3044A"/>
  </w:style>
  <w:style w:type="character" w:customStyle="1" w:styleId="Nagwek1Znak">
    <w:name w:val="Nagłówek 1 Znak"/>
    <w:basedOn w:val="Domylnaczcionkaakapitu"/>
    <w:link w:val="Nagwek1"/>
    <w:uiPriority w:val="9"/>
    <w:rsid w:val="00BA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1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AD0D1"/>
            <w:right w:val="none" w:sz="0" w:space="0" w:color="auto"/>
          </w:divBdr>
        </w:div>
        <w:div w:id="1550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688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1907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3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AD0D1"/>
            <w:right w:val="none" w:sz="0" w:space="0" w:color="auto"/>
          </w:divBdr>
        </w:div>
        <w:div w:id="126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2024-01-30T12:44:00Z</dcterms:created>
  <dcterms:modified xsi:type="dcterms:W3CDTF">2024-01-30T12:44:00Z</dcterms:modified>
</cp:coreProperties>
</file>