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1A" w:rsidRP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b/>
          <w:color w:val="1F497D"/>
        </w:rPr>
      </w:pPr>
      <w:r w:rsidRPr="00051E1A">
        <w:rPr>
          <w:b/>
          <w:color w:val="1F497D"/>
        </w:rPr>
        <w:t>Decyzja</w:t>
      </w:r>
      <w:r>
        <w:rPr>
          <w:b/>
          <w:color w:val="1F497D"/>
        </w:rPr>
        <w:t xml:space="preserve"> w</w:t>
      </w:r>
      <w:r w:rsidRPr="00051E1A">
        <w:rPr>
          <w:b/>
          <w:color w:val="1F497D"/>
        </w:rPr>
        <w:t xml:space="preserve"> sprawie środków kontroli w zakresie zdrowia zwierząt w odniesieniu do afrykańskiego pomoru </w:t>
      </w:r>
      <w:proofErr w:type="gramStart"/>
      <w:r w:rsidRPr="00051E1A">
        <w:rPr>
          <w:b/>
          <w:color w:val="1F497D"/>
        </w:rPr>
        <w:t>świń</w:t>
      </w:r>
      <w:proofErr w:type="gramEnd"/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1F497D"/>
        </w:rPr>
      </w:pP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F497D"/>
        </w:rPr>
        <w:t xml:space="preserve">Powiatowy Inspektorat Weterynarii w Rykach uprzejmie informuje o opublikowaniu w dzienniku urzędowym UE decyzji wykonawczej Komisji (UE) 2018/883 z dnia 18 czerwca 2018 r. zmieniającej załącznik do decyzji wykonawczej 2014/709/UE w sprawie środków kontroli w zakresie zdrowia zwierząt w odniesieniu do afrykańskiego pomoru </w:t>
      </w:r>
      <w:proofErr w:type="gramStart"/>
      <w:r>
        <w:rPr>
          <w:color w:val="1F497D"/>
        </w:rPr>
        <w:t>świń</w:t>
      </w:r>
      <w:proofErr w:type="gramEnd"/>
      <w:r>
        <w:rPr>
          <w:color w:val="1F497D"/>
        </w:rPr>
        <w:t xml:space="preserve"> w niektórych państwach członkowskich.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F497D"/>
        </w:rPr>
        <w:t>Decyzja dostępna jest również pod linkiem: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hyperlink r:id="rId4" w:tgtFrame="_blank" w:history="1">
        <w:r>
          <w:rPr>
            <w:rStyle w:val="Hipercze"/>
            <w:color w:val="800080"/>
          </w:rPr>
          <w:t>https://eur-lex.europa.eu/legal-content/PL/TXT/PDF/?uri=CELEX:32018D0883&amp;from=PL</w:t>
        </w:r>
      </w:hyperlink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F497D"/>
        </w:rPr>
        <w:t> 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F497D"/>
        </w:rPr>
        <w:t>Powiat Ryki: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44"/>
          <w:szCs w:val="44"/>
          <w:shd w:val="clear" w:color="auto" w:fill="FFFF00"/>
        </w:rPr>
        <w:t>Obszar ochronny – strefa żółta- gminy Kłoczew, Ryki, Dęblin i Stężyca w powiecie ryckim.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44"/>
          <w:szCs w:val="44"/>
        </w:rPr>
        <w:t> 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44"/>
          <w:szCs w:val="44"/>
          <w:shd w:val="clear" w:color="auto" w:fill="0000FF"/>
        </w:rPr>
        <w:t>Obszar zagrożenia –      strefa niebieska –gminy Nowodwór i Ułęż w powiecie ryckim.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36"/>
          <w:szCs w:val="36"/>
        </w:rPr>
        <w:t> 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:rsidR="00051E1A" w:rsidRDefault="00051E1A" w:rsidP="00051E1A">
      <w:pPr>
        <w:pStyle w:val="ox-18f7e6e8c0-msonormal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1F497D"/>
        </w:rPr>
        <w:t>W załączeniu – zasady przemieszczania w strefach ASF.</w:t>
      </w:r>
    </w:p>
    <w:p w:rsidR="00855E30" w:rsidRDefault="00051E1A"/>
    <w:sectPr w:rsidR="00855E30" w:rsidSect="00F31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1E1A"/>
    <w:rsid w:val="00051E1A"/>
    <w:rsid w:val="00B64547"/>
    <w:rsid w:val="00CE2B00"/>
    <w:rsid w:val="00F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18f7e6e8c0-msonormal">
    <w:name w:val="ox-18f7e6e8c0-msonormal"/>
    <w:basedOn w:val="Normalny"/>
    <w:rsid w:val="0005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18f7e6e8c0-msohyperlink">
    <w:name w:val="ox-18f7e6e8c0-msohyperlink"/>
    <w:basedOn w:val="Domylnaczcionkaakapitu"/>
    <w:rsid w:val="00051E1A"/>
  </w:style>
  <w:style w:type="character" w:styleId="Hipercze">
    <w:name w:val="Hyperlink"/>
    <w:basedOn w:val="Domylnaczcionkaakapitu"/>
    <w:uiPriority w:val="99"/>
    <w:semiHidden/>
    <w:unhideWhenUsed/>
    <w:rsid w:val="00051E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-lex.europa.eu/legal-content/PL/TXT/PDF/?uri=CELEX:32018D0883&amp;from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Marchel</dc:creator>
  <cp:lastModifiedBy>Justyna Marchel</cp:lastModifiedBy>
  <cp:revision>1</cp:revision>
  <dcterms:created xsi:type="dcterms:W3CDTF">2018-06-21T07:20:00Z</dcterms:created>
  <dcterms:modified xsi:type="dcterms:W3CDTF">2018-06-21T07:22:00Z</dcterms:modified>
</cp:coreProperties>
</file>