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C17FA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</w:t>
      </w:r>
      <w:r w:rsidR="005053E6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Wójta Gminy Secemin  </w:t>
      </w:r>
    </w:p>
    <w:p w:rsidR="00601FDF" w:rsidRPr="00F80FD6" w:rsidRDefault="005053E6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dnia 23 lutego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01FD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F80FD6" w:rsidRDefault="00F80FD6" w:rsidP="00890A4A">
      <w:pPr>
        <w:spacing w:before="79" w:after="0" w:line="278" w:lineRule="atLeast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Wykaz ksiąg rachunkowych z wykazem zbiorów tworzących księgi rachunkowe na komputerowych nośnikach danych z określeniem ich struktury, wzajemnych powiązań oraz ich funkcji w organizacji całości ksiąg rachunkowych i w procesach przetwarzania danych</w:t>
      </w:r>
    </w:p>
    <w:p w:rsidR="00890A4A" w:rsidRPr="00F80FD6" w:rsidRDefault="00890A4A" w:rsidP="00890A4A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3B3B5A" w:rsidRPr="003B3B5A" w:rsidRDefault="00890A4A" w:rsidP="003B3B5A">
      <w:pPr>
        <w:pStyle w:val="Akapitzlist"/>
        <w:numPr>
          <w:ilvl w:val="0"/>
          <w:numId w:val="6"/>
        </w:numPr>
        <w:tabs>
          <w:tab w:val="right" w:leader="dot" w:pos="9072"/>
        </w:tabs>
        <w:autoSpaceDE w:val="0"/>
        <w:autoSpaceDN w:val="0"/>
        <w:adjustRightInd w:val="0"/>
        <w:spacing w:before="80" w:line="275" w:lineRule="atLeast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Jednostka prowadzi księgi przy użyciu 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zintegrowanego systemu informatycznego </w:t>
      </w:r>
      <w:r w:rsidR="00A814A3" w:rsidRPr="003B3B5A">
        <w:rPr>
          <w:rFonts w:ascii="Arial" w:eastAsia="Times New Roman" w:hAnsi="Arial" w:cs="Arial"/>
          <w:sz w:val="20"/>
          <w:szCs w:val="20"/>
          <w:lang w:eastAsia="pl-PL"/>
        </w:rPr>
        <w:t>RESPONS</w:t>
      </w: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opracowan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przez 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firmę </w:t>
      </w:r>
      <w:r w:rsidR="004D009F" w:rsidRPr="003B3B5A">
        <w:rPr>
          <w:rStyle w:val="Pogrubienie"/>
          <w:rFonts w:ascii="Arial" w:hAnsi="Arial" w:cs="Arial"/>
          <w:b w:val="0"/>
          <w:sz w:val="20"/>
          <w:szCs w:val="20"/>
        </w:rPr>
        <w:t>ZETO SOFTWARE Sp. z o.o. z siedzibą w Olsztynie</w:t>
      </w:r>
      <w:r w:rsidR="003B3B5A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integrowany system </w:t>
      </w:r>
      <w:r w:rsidR="00A814A3" w:rsidRPr="003B3B5A">
        <w:rPr>
          <w:rFonts w:ascii="Arial" w:eastAsia="Times New Roman" w:hAnsi="Arial" w:cs="Arial"/>
          <w:sz w:val="20"/>
          <w:szCs w:val="20"/>
          <w:lang w:eastAsia="pl-PL"/>
        </w:rPr>
        <w:t>RESPONS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0A4A" w:rsidRPr="003B3B5A">
        <w:rPr>
          <w:rFonts w:ascii="Arial" w:eastAsia="Times New Roman" w:hAnsi="Arial" w:cs="Arial"/>
          <w:sz w:val="20"/>
          <w:szCs w:val="20"/>
          <w:lang w:eastAsia="pl-PL"/>
        </w:rPr>
        <w:t>składa</w:t>
      </w:r>
      <w:r w:rsidR="004D009F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się</w:t>
      </w:r>
      <w:r w:rsidR="00890A4A"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z modułów: 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FINANSE I KSIĘGOWOŚĆ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BUDŻET   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PŁACE 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KADRY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PODATKI – OS. FIZYCZNE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GOSPODARKA ODPADAMI – OPŁATY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- moduł KONCESJE ALKOHOLOWE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OPJ – PODATEK OD OSÓB PRAWNYCH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ŚRODKI TRWAŁE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FAKTURY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OPŁATY RÓŻNE</w:t>
      </w:r>
    </w:p>
    <w:p w:rsidR="003B3B5A" w:rsidRPr="003B3B5A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POST – podatek od środków transportowych</w:t>
      </w:r>
    </w:p>
    <w:p w:rsidR="005053E6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3B5A">
        <w:rPr>
          <w:rFonts w:ascii="Arial" w:eastAsia="Times New Roman" w:hAnsi="Arial" w:cs="Arial"/>
          <w:sz w:val="20"/>
          <w:szCs w:val="20"/>
          <w:lang w:eastAsia="pl-PL"/>
        </w:rPr>
        <w:t xml:space="preserve">           - moduł WINDYKACJA</w:t>
      </w:r>
    </w:p>
    <w:p w:rsidR="005053E6" w:rsidRDefault="005053E6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3B5A" w:rsidRPr="00F80FD6" w:rsidRDefault="003B3B5A" w:rsidP="003B3B5A">
      <w:pPr>
        <w:tabs>
          <w:tab w:val="right" w:leader="dot" w:pos="9072"/>
        </w:tabs>
        <w:autoSpaceDE w:val="0"/>
        <w:autoSpaceDN w:val="0"/>
        <w:adjustRightInd w:val="0"/>
        <w:spacing w:before="80" w:after="0" w:line="27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0A4A" w:rsidRPr="00F80FD6" w:rsidRDefault="00890A4A" w:rsidP="00FE49EE">
      <w:pPr>
        <w:numPr>
          <w:ilvl w:val="2"/>
          <w:numId w:val="1"/>
        </w:numPr>
        <w:tabs>
          <w:tab w:val="clear" w:pos="2160"/>
          <w:tab w:val="num" w:pos="0"/>
          <w:tab w:val="left" w:pos="993"/>
        </w:tabs>
        <w:spacing w:before="79" w:after="284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Oprogramowanie służy do prowadzenia rozliczeń finansowo-księgowych </w:t>
      </w:r>
      <w:r w:rsidR="004D009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gminy 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obsługiwanych </w:t>
      </w:r>
      <w:r w:rsidR="004D009F" w:rsidRPr="00F80FD6">
        <w:rPr>
          <w:rFonts w:ascii="Arial" w:eastAsia="Times New Roman" w:hAnsi="Arial" w:cs="Arial"/>
          <w:sz w:val="20"/>
          <w:szCs w:val="20"/>
          <w:lang w:eastAsia="pl-PL"/>
        </w:rPr>
        <w:t>przez R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eferat </w:t>
      </w:r>
      <w:r w:rsidR="004D009F" w:rsidRPr="00F80FD6"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>inansowy Gminy Secemin. Księgi rachunkowe prowadzone przy zastosowaniu powyższego oprogramowania obejmują odpowiednie zbiory zapisów opartych na dowodach księgowych, w porządku chronologicznym i systematycznym, zgodnie z zasadami obowiązującymi w rachunkowości. Jednakże mają one inną organizację z punktu widzenia fizycznego niż tradycyjne księgi rachunkowe.</w:t>
      </w:r>
    </w:p>
    <w:p w:rsidR="00890A4A" w:rsidRPr="00F80FD6" w:rsidRDefault="00890A4A" w:rsidP="00FE49EE">
      <w:pPr>
        <w:numPr>
          <w:ilvl w:val="2"/>
          <w:numId w:val="2"/>
        </w:numPr>
        <w:tabs>
          <w:tab w:val="clear" w:pos="2160"/>
          <w:tab w:val="left" w:pos="0"/>
          <w:tab w:val="left" w:pos="993"/>
        </w:tabs>
        <w:spacing w:before="79" w:after="284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Ustawa o rachunkowości nakłada na producentów oprogramowania poniższą strukturę ksiąg rachunkowych oraz ich powiązania:</w:t>
      </w:r>
    </w:p>
    <w:p w:rsidR="00890A4A" w:rsidRPr="00F80FD6" w:rsidRDefault="00890A4A" w:rsidP="00FE49EE">
      <w:pPr>
        <w:numPr>
          <w:ilvl w:val="2"/>
          <w:numId w:val="3"/>
        </w:numPr>
        <w:tabs>
          <w:tab w:val="clear" w:pos="2160"/>
        </w:tabs>
        <w:spacing w:after="284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Dziennik -obroty zgodne z obrotami dziennika</w:t>
      </w:r>
    </w:p>
    <w:p w:rsidR="00890A4A" w:rsidRPr="00F80FD6" w:rsidRDefault="00890A4A" w:rsidP="00FE49EE">
      <w:pPr>
        <w:numPr>
          <w:ilvl w:val="2"/>
          <w:numId w:val="3"/>
        </w:numPr>
        <w:tabs>
          <w:tab w:val="clear" w:pos="2160"/>
          <w:tab w:val="num" w:pos="1560"/>
        </w:tabs>
        <w:spacing w:after="284" w:line="240" w:lineRule="auto"/>
        <w:ind w:hanging="10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Księga Główna – uzgodnienie sald</w:t>
      </w:r>
    </w:p>
    <w:p w:rsidR="00890A4A" w:rsidRPr="00F80FD6" w:rsidRDefault="00890A4A" w:rsidP="00FE49EE">
      <w:pPr>
        <w:numPr>
          <w:ilvl w:val="2"/>
          <w:numId w:val="3"/>
        </w:numPr>
        <w:tabs>
          <w:tab w:val="clear" w:pos="2160"/>
          <w:tab w:val="num" w:pos="1560"/>
        </w:tabs>
        <w:spacing w:after="284" w:line="240" w:lineRule="auto"/>
        <w:ind w:hanging="10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Księga Pomocnicza -</w:t>
      </w:r>
      <w:r w:rsidR="00FE49EE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uzgodnienie sald i zapisów </w:t>
      </w:r>
    </w:p>
    <w:p w:rsidR="00890A4A" w:rsidRPr="00F80FD6" w:rsidRDefault="00890A4A" w:rsidP="00FE49EE">
      <w:pPr>
        <w:numPr>
          <w:ilvl w:val="2"/>
          <w:numId w:val="3"/>
        </w:numPr>
        <w:tabs>
          <w:tab w:val="clear" w:pos="2160"/>
          <w:tab w:val="num" w:pos="1560"/>
        </w:tabs>
        <w:spacing w:after="284" w:line="240" w:lineRule="auto"/>
        <w:ind w:hanging="10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Zestawienie obrotów i sald – zestawienie sald wszystkich kont ksiąg pomocniczych </w:t>
      </w:r>
    </w:p>
    <w:p w:rsidR="00621586" w:rsidRPr="00F80FD6" w:rsidRDefault="00621586" w:rsidP="00890A4A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Wszystkie dane wprowadzane do systemu takie jak: plan budżetowy, bilans, zapisy w dzienniku i inne dane są zapisywane do relacyjnej bazy danych pracującej pod systemem </w:t>
      </w:r>
      <w:proofErr w:type="spellStart"/>
      <w:r w:rsidRPr="00F80FD6">
        <w:rPr>
          <w:rFonts w:ascii="Arial" w:eastAsia="Times New Roman" w:hAnsi="Arial" w:cs="Arial"/>
          <w:sz w:val="20"/>
          <w:szCs w:val="20"/>
          <w:lang w:eastAsia="pl-PL"/>
        </w:rPr>
        <w:t>PostgreSQL</w:t>
      </w:r>
      <w:proofErr w:type="spellEnd"/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9.5 zainstalowanym na serwerze bazodanowym, a następnie udostępniany za pomocą loginu i hasła użytkownikom systemu.</w:t>
      </w:r>
    </w:p>
    <w:p w:rsidR="00890A4A" w:rsidRPr="00F80FD6" w:rsidRDefault="00621586" w:rsidP="00621586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>Wykaz kont księgi głównej znajduje się w załączniku nr 3</w:t>
      </w:r>
      <w:r w:rsidR="00F80FD6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i 4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do niniejszego zarządzenia.</w:t>
      </w:r>
    </w:p>
    <w:p w:rsidR="00890A4A" w:rsidRPr="00F80FD6" w:rsidRDefault="00890A4A" w:rsidP="00890A4A">
      <w:pPr>
        <w:spacing w:before="79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            5. Poszczególne operacje w systemie umożliwiają równoczesne wykonywanie określonych czynności (różnych dla różnych kartotek)dla wybranych danych. Operacjom tym można poddawać wszystkie pozycje kartoteki, bądź tylko wybrane ich grupy. Operacje grupowe umożliwiają grupowe tworzenie, wystawianie i drukowanie dokumentów, ułatwiają pracę w przypadku powtarzalnego wystawiania dużej liczby dokumentów.</w:t>
      </w:r>
    </w:p>
    <w:p w:rsidR="00890A4A" w:rsidRPr="00F80FD6" w:rsidRDefault="00890A4A" w:rsidP="00890A4A">
      <w:pPr>
        <w:spacing w:before="79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            6. Na podstawie zbioru zaksięgowanych danych sporządza się zestawienia analityczne obrotów i sald, zestawienia sald kont analitycznych i zestawienia obrotów i sald kont księgi głównej oraz kont ksiąg pomocniczych, które wykazują pełną zgodność danych pomiędzy sobą, jak i w porównaniu z dziennikiem.</w:t>
      </w:r>
    </w:p>
    <w:p w:rsidR="00890A4A" w:rsidRPr="00F80FD6" w:rsidRDefault="00890A4A" w:rsidP="00890A4A">
      <w:pPr>
        <w:spacing w:before="79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            7. W procesie przetwarzania danych dokonuje się zestawienia danych dziennika (w okresach miesięcznych). Zapisy dokonane na kontach księgi głównej i na kontach ksiąg pomocniczych oraz zestawienie sald kont ksiąg pomocniczych – są zapisywane na </w:t>
      </w:r>
      <w:r w:rsidR="003B3B5A">
        <w:rPr>
          <w:rFonts w:ascii="Arial" w:eastAsia="Times New Roman" w:hAnsi="Arial" w:cs="Arial"/>
          <w:sz w:val="20"/>
          <w:szCs w:val="20"/>
          <w:lang w:eastAsia="pl-PL"/>
        </w:rPr>
        <w:t xml:space="preserve">w postaci plików PDF i zapisywane na urządzeniu </w:t>
      </w:r>
      <w:proofErr w:type="spellStart"/>
      <w:r w:rsidR="003B3B5A">
        <w:rPr>
          <w:rFonts w:ascii="Arial" w:eastAsia="Times New Roman" w:hAnsi="Arial" w:cs="Arial"/>
          <w:sz w:val="20"/>
          <w:szCs w:val="20"/>
          <w:lang w:eastAsia="pl-PL"/>
        </w:rPr>
        <w:t>back-upowym</w:t>
      </w:r>
      <w:proofErr w:type="spellEnd"/>
      <w:r w:rsidR="003B3B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3B3B5A">
        <w:rPr>
          <w:rFonts w:ascii="Arial" w:eastAsia="Times New Roman" w:hAnsi="Arial" w:cs="Arial"/>
          <w:sz w:val="20"/>
          <w:szCs w:val="20"/>
          <w:lang w:eastAsia="pl-PL"/>
        </w:rPr>
        <w:t>Synergology</w:t>
      </w:r>
      <w:proofErr w:type="spellEnd"/>
      <w:r w:rsidR="003B3B5A">
        <w:rPr>
          <w:rFonts w:ascii="Arial" w:eastAsia="Times New Roman" w:hAnsi="Arial" w:cs="Arial"/>
          <w:sz w:val="20"/>
          <w:szCs w:val="20"/>
          <w:lang w:eastAsia="pl-PL"/>
        </w:rPr>
        <w:t xml:space="preserve"> w Urzędzie Gminy w celu uzgodnień księgowych i dokonania niezbędnych rozliczeń księgowych i podatkowych.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Powyższe zbiory będą na bieżąco i na koniec każdego okresu archiwizowane w sposób umożliwiający zapewnienie odtworzenia tych ksiąg w formie wydruku oraz przechowywane przez okres nie krótszy od wymaganego dla przechowywania ksiąg rachunkowych.</w:t>
      </w:r>
    </w:p>
    <w:p w:rsidR="00890A4A" w:rsidRPr="00F80FD6" w:rsidRDefault="00890A4A" w:rsidP="00890A4A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            8. Funkcje poszczególnych zbiorów danyc</w:t>
      </w:r>
      <w:r w:rsidR="00601FD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h są zgodne z zapisami ustawy 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>o rachunkowości.</w:t>
      </w:r>
    </w:p>
    <w:p w:rsidR="00890A4A" w:rsidRPr="00F80FD6" w:rsidRDefault="00890A4A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49EE" w:rsidRDefault="00FE49EE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0FD6" w:rsidRPr="00F80FD6" w:rsidRDefault="00F80FD6" w:rsidP="00890A4A">
      <w:pPr>
        <w:spacing w:before="79"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FDF" w:rsidRPr="00F80FD6" w:rsidRDefault="00890A4A" w:rsidP="00244F68">
      <w:pPr>
        <w:spacing w:before="79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0A4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F6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17FA0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Wójta Gminy Secemin  </w:t>
      </w:r>
    </w:p>
    <w:p w:rsidR="00601FDF" w:rsidRPr="00F80FD6" w:rsidRDefault="00F80FD6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="00C17F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lutego</w:t>
      </w:r>
      <w:r w:rsidR="00601FD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20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01FD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601FDF" w:rsidRPr="00F80FD6" w:rsidRDefault="00601FDF" w:rsidP="00890A4A">
      <w:pPr>
        <w:spacing w:before="79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0A4A" w:rsidRDefault="00890A4A" w:rsidP="00F80FD6">
      <w:pPr>
        <w:spacing w:before="79" w:after="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Opis systemu informatycznego, zawierający wykaz programów </w:t>
      </w:r>
      <w:r w:rsidR="00F80FD6" w:rsidRPr="00F80FD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wraz z opisem algorytmów oraz określeniem wersji oprogramowania i daty rozpoczęcia jego eksploatacji</w:t>
      </w:r>
    </w:p>
    <w:p w:rsidR="00967952" w:rsidRPr="00F80FD6" w:rsidRDefault="00967952" w:rsidP="00F80FD6">
      <w:pPr>
        <w:spacing w:before="79"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0A4A" w:rsidRPr="00F80FD6" w:rsidRDefault="00890A4A" w:rsidP="00FE49EE">
      <w:pPr>
        <w:spacing w:before="79" w:after="284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Głównym elementem </w:t>
      </w:r>
      <w:r w:rsidR="00621586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zintegrowanego systemu informatycznego 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RESPONS</w:t>
      </w:r>
      <w:r w:rsidR="00621586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opracowanego przez firmę </w:t>
      </w:r>
      <w:r w:rsidR="00621586" w:rsidRPr="00F80FD6">
        <w:rPr>
          <w:rStyle w:val="Pogrubienie"/>
          <w:rFonts w:ascii="Arial" w:hAnsi="Arial" w:cs="Arial"/>
          <w:b w:val="0"/>
          <w:sz w:val="20"/>
          <w:szCs w:val="20"/>
        </w:rPr>
        <w:t xml:space="preserve">ZETO </w:t>
      </w:r>
      <w:r w:rsidR="00621586" w:rsidRPr="00F80FD6">
        <w:rPr>
          <w:rFonts w:ascii="Arial" w:eastAsia="Times New Roman" w:hAnsi="Arial" w:cs="Arial"/>
          <w:bCs/>
          <w:sz w:val="20"/>
          <w:szCs w:val="20"/>
          <w:lang w:eastAsia="pl-PL"/>
        </w:rPr>
        <w:t>SOFTWARE Sp. z o.o. z siedzibą w Olsztynie</w:t>
      </w:r>
      <w:r w:rsidR="00621586" w:rsidRPr="00F80FD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system ma budowę modułową tzn. 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składa się z modułów wzajemnie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>ze sobą współpracujących.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Integracja polega na jednolitej klasyfikacji odnoszących się do danych zdefiniowanych w części wspólnej systemu tj. w danych wspólnych i parametrach. W konstrukcji systemu wydzielono zbiory wspólne, wykorzystywane przez wszystkie moduły. Zbiory te tworzą wspólną bazę danych.</w:t>
      </w:r>
    </w:p>
    <w:p w:rsidR="00890A4A" w:rsidRPr="00F80FD6" w:rsidRDefault="00890A4A" w:rsidP="00FE49EE">
      <w:pPr>
        <w:spacing w:before="79" w:after="284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Integracja modułów umożliwia jednokrotne wprowadzenie danych z możliwością użytkowania tych danych przez wielu użytkowników w żądanej formie i przyspiesza proces przetwarzania danych. Dane wprowadzane (lub generowane automat</w:t>
      </w:r>
      <w:r w:rsidR="00FE49EE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ycznie) 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w poszczególnych modułach są podstawą ewidencji specyficznej dla danego modułu oraz dają możliwość sporządzania dekretów operacji dla modułu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>FK-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RESPONS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80FD6" w:rsidRPr="00F80FD6" w:rsidRDefault="00F80FD6" w:rsidP="00FE49EE">
      <w:pPr>
        <w:spacing w:before="79" w:after="284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Gmina systematycznie aktualizuje system informatyczny (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RESPONS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>), aby zapewnić zgodność z aktualnymi przepisami prawa. W celu zapewnienia bezpieczeństwa przetwarzania danych Gmina posiada aktualną umowę na asystę i pomoc techniczną.</w:t>
      </w:r>
    </w:p>
    <w:p w:rsidR="00890A4A" w:rsidRPr="00F80FD6" w:rsidRDefault="00890A4A" w:rsidP="00890A4A">
      <w:pPr>
        <w:spacing w:before="79" w:after="284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3. Wykaz stosowanych programów znajduje się w poniższej tabeli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"/>
        <w:gridCol w:w="2364"/>
        <w:gridCol w:w="2179"/>
        <w:gridCol w:w="2071"/>
        <w:gridCol w:w="2689"/>
      </w:tblGrid>
      <w:tr w:rsidR="00890A4A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890A4A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7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F80FD6" w:rsidRDefault="00890A4A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programu (systemu)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F80FD6" w:rsidRDefault="00890A4A" w:rsidP="00FE4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Charakterystyka</w:t>
            </w:r>
          </w:p>
          <w:p w:rsidR="00890A4A" w:rsidRPr="00F80FD6" w:rsidRDefault="00890A4A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wersja oprogramowania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F80FD6" w:rsidRDefault="00890A4A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rozpoczęcia eksploatacji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F80FD6" w:rsidRDefault="00890A4A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0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</w:tr>
      <w:tr w:rsidR="00890A4A" w:rsidRPr="00F80FD6" w:rsidTr="00967952">
        <w:trPr>
          <w:trHeight w:val="872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890A4A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470F69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Budżet/FK</w:t>
            </w:r>
            <w:r w:rsidR="00890A4A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System księgowy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890A4A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Baza danych oparta na serwerze</w:t>
            </w:r>
            <w:r w:rsidR="00470F69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470F69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="00470F69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470F69" w:rsidP="00967952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470F69" w:rsidP="00FE49EE">
            <w:pPr>
              <w:spacing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890A4A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890A4A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PŁACE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890A4A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="00470F69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="00470F69"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470F69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A4A" w:rsidRPr="00967952" w:rsidRDefault="00470F69" w:rsidP="00FE49EE">
            <w:pPr>
              <w:spacing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KADRY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PODATKI-OS. FIZYCZNE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GOSPODARKA ODPADAMI – OPŁATY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KONCESJE ALKOHOLOWE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OPJ-PODATEK OD OSÓB PRAWNYCH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rHeight w:val="234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FAKTURY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OPŁATY RÓŻNE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967952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POST-podatek od środków transportowych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967952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967952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WINDYKACJA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2014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52" w:rsidRPr="00967952" w:rsidRDefault="00967952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AF7208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208" w:rsidRPr="00967952" w:rsidRDefault="00AF7208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208" w:rsidRPr="00967952" w:rsidRDefault="00AF7208" w:rsidP="00967952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MEDIA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208" w:rsidRPr="00967952" w:rsidRDefault="00AF7208" w:rsidP="00393743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Baza danych oparta na serwerze </w:t>
            </w:r>
            <w:proofErr w:type="spellStart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PostgreSQL</w:t>
            </w:r>
            <w:proofErr w:type="spellEnd"/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9.5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208" w:rsidRPr="00967952" w:rsidRDefault="00AF7208" w:rsidP="00AF7208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Wdrożenie i uruchomienie rok 2023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208" w:rsidRPr="00967952" w:rsidRDefault="00AF7208" w:rsidP="00FE49EE">
            <w:pPr>
              <w:spacing w:after="0" w:line="278" w:lineRule="atLeast"/>
              <w:jc w:val="both"/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  <w:r w:rsidRPr="00967952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 xml:space="preserve">ZETO </w:t>
            </w:r>
            <w:r w:rsidRPr="0096795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SOFTWARE Sp. z o.o.- Olsztyn</w:t>
            </w:r>
          </w:p>
        </w:tc>
      </w:tr>
      <w:tr w:rsidR="00AF7208" w:rsidRPr="00F80FD6" w:rsidTr="00967952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08" w:rsidRPr="00967952" w:rsidRDefault="00AF7208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08" w:rsidRPr="00967952" w:rsidRDefault="00AF7208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PŁATNIK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08" w:rsidRPr="00967952" w:rsidRDefault="00AF7208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Baza danych ACCESS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08" w:rsidRPr="00967952" w:rsidRDefault="00AF7208" w:rsidP="00FE49EE">
            <w:pPr>
              <w:spacing w:before="79" w:after="0" w:line="27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208" w:rsidRPr="00967952" w:rsidRDefault="00AF7208" w:rsidP="00FE49EE">
            <w:pPr>
              <w:spacing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Asseco Poland SA</w:t>
            </w:r>
          </w:p>
          <w:p w:rsidR="00AF7208" w:rsidRPr="00967952" w:rsidRDefault="00AF7208" w:rsidP="00FE49EE">
            <w:pPr>
              <w:spacing w:before="79" w:after="0" w:line="278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9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siedzibą w Rzeszowie</w:t>
            </w:r>
          </w:p>
        </w:tc>
      </w:tr>
    </w:tbl>
    <w:p w:rsidR="00890A4A" w:rsidRPr="00F80FD6" w:rsidRDefault="00890A4A" w:rsidP="00890A4A">
      <w:pPr>
        <w:spacing w:before="79" w:after="284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 </w:t>
      </w:r>
    </w:p>
    <w:p w:rsidR="00890A4A" w:rsidRPr="00F80FD6" w:rsidRDefault="00890A4A" w:rsidP="00890A4A">
      <w:pPr>
        <w:spacing w:before="79" w:after="284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4. Opis procedur i funkcji:</w:t>
      </w:r>
    </w:p>
    <w:p w:rsidR="00890A4A" w:rsidRPr="00F80FD6" w:rsidRDefault="00890A4A" w:rsidP="00890A4A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Opis podstawowych funkcji wraz z opisem algorytmów i parametrów dla stosowanych programów zawarto w instrukcjach użytkowania tych systemów, które stanowią uzupełnienie niniejszej dokumentacji i przec</w:t>
      </w:r>
      <w:r w:rsidR="00F80FD6" w:rsidRPr="00F80FD6">
        <w:rPr>
          <w:rFonts w:ascii="Arial" w:eastAsia="Times New Roman" w:hAnsi="Arial" w:cs="Arial"/>
          <w:sz w:val="20"/>
          <w:szCs w:val="20"/>
          <w:lang w:eastAsia="pl-PL"/>
        </w:rPr>
        <w:t>howywane Urzędzie Gminy Secemin – wersja elektroniczna w postaci plików pdf na serwerze UG Secemin.</w:t>
      </w:r>
    </w:p>
    <w:p w:rsidR="00890A4A" w:rsidRPr="00F80FD6" w:rsidRDefault="00890A4A" w:rsidP="00890A4A">
      <w:pPr>
        <w:spacing w:before="79" w:after="284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>5. Programowe zasady ochrony:</w:t>
      </w:r>
    </w:p>
    <w:p w:rsidR="00890A4A" w:rsidRPr="00F80FD6" w:rsidRDefault="00A814A3" w:rsidP="00890A4A">
      <w:pPr>
        <w:spacing w:before="79" w:after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Dostęp do systemu RESPONS</w:t>
      </w:r>
      <w:r w:rsidR="00F80FD6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następuje poprzez proces logowania się. B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ezpieczeństwo użytkowania systemu zapewnione jest poprzez funkcję administratora systemu oraz zdefiniowanie praw dostępu poszczególnym użytkownikom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>uprawnień do poszczególnych modułów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. Prawa dostępu definiowane są przez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kierowników referatu 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>i wprowadz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ne przez administratora systemu. Każdemu użytkownikowi definiuje się </w:t>
      </w:r>
      <w:r w:rsidR="00470F69" w:rsidRPr="00F80FD6">
        <w:rPr>
          <w:rFonts w:ascii="Arial" w:eastAsia="Times New Roman" w:hAnsi="Arial" w:cs="Arial"/>
          <w:sz w:val="20"/>
          <w:szCs w:val="20"/>
          <w:lang w:eastAsia="pl-PL"/>
        </w:rPr>
        <w:t>poziom uprawnień do danego modułu, do których może mieć dostęp</w:t>
      </w:r>
      <w:r w:rsidR="00890A4A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F80FD6" w:rsidRDefault="00F80FD6" w:rsidP="00890A4A">
      <w:pPr>
        <w:spacing w:before="79" w:after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80FD6" w:rsidRPr="00601FDF" w:rsidRDefault="00F80FD6" w:rsidP="00890A4A">
      <w:pPr>
        <w:spacing w:before="79" w:after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01FDF" w:rsidRDefault="00601FDF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D09" w:rsidRDefault="00385D09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D09" w:rsidRDefault="00385D09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952" w:rsidRDefault="00967952" w:rsidP="00F80F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FDF" w:rsidRPr="00F80FD6" w:rsidRDefault="00C17FA0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7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1FDF" w:rsidRPr="00F80FD6" w:rsidRDefault="00601FDF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Wójta Gminy Secemin  </w:t>
      </w:r>
    </w:p>
    <w:p w:rsidR="00601FDF" w:rsidRPr="00F80FD6" w:rsidRDefault="00F80FD6" w:rsidP="00601FDF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="00C17F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5D09">
        <w:rPr>
          <w:rFonts w:ascii="Arial" w:eastAsia="Times New Roman" w:hAnsi="Arial" w:cs="Arial"/>
          <w:sz w:val="20"/>
          <w:szCs w:val="20"/>
          <w:lang w:eastAsia="pl-PL"/>
        </w:rPr>
        <w:t>lutego</w:t>
      </w:r>
      <w:r w:rsidR="00A814A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AF720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01FDF" w:rsidRPr="00F80FD6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0A4A" w:rsidRPr="00F80FD6" w:rsidRDefault="00890A4A" w:rsidP="00C17FA0">
      <w:pPr>
        <w:spacing w:before="79" w:after="0" w:line="278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Opis systemu służącego ochronie danych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Dokumentacja opisująca zasady prowadzenia rachunkowości, księgi rachunkowe, dowody księgowe, dokumenty inwentaryzacyjne, sprawozdania finansowe i budżetowe są przechowywane, zabezpieczone i chronione przed zniszczeniem, utratą i dostępem osób nieupoważnionych, przy czym: </w:t>
      </w:r>
    </w:p>
    <w:p w:rsidR="00890A4A" w:rsidRPr="00F80FD6" w:rsidRDefault="00890A4A" w:rsidP="00890A4A">
      <w:pPr>
        <w:pStyle w:val="Akapitzlist"/>
        <w:numPr>
          <w:ilvl w:val="0"/>
          <w:numId w:val="5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Księgi rachunkowe, dowody księgowe w trakcie roku obrotowego – oraz po jego zakończeniu, do czasu ostatecznego zamknięcia ksiąg rachunkowych danego roku, które następuje w terminie do 15 od daty zatwierdzenia sprawozdania finansowego – przechowywane są  przez głównego księgowego na jego stanowisku pracy. Po ostatecznym zamknięciu ksiąg rachunkowych, księgi rachunkowe i dowody księgowe przechow</w:t>
      </w:r>
      <w:r w:rsidR="00A814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ywane są w podręcznym </w:t>
      </w:r>
      <w:r w:rsid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archiwum,</w:t>
      </w:r>
      <w:r w:rsidR="00A814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gdzie są</w:t>
      </w:r>
      <w:r w:rsidR="00A814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groma</w:t>
      </w:r>
      <w:r w:rsidR="00A814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dzone według poszczególnych lat 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obrotowych,                                                                                    </w:t>
      </w:r>
    </w:p>
    <w:p w:rsidR="00890A4A" w:rsidRPr="00F80FD6" w:rsidRDefault="00890A4A" w:rsidP="00890A4A">
      <w:pPr>
        <w:pStyle w:val="Akapitzlist"/>
        <w:numPr>
          <w:ilvl w:val="0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Dokumentacja opisująca przyjęte zasady rachunkowości – zarządzenie wraz z załącznikami – przechowywana jest na stanowisku pracy głównego księgowego; dokumentacja ta jest dostępna dla wszystkich zainteresowanych,</w:t>
      </w:r>
    </w:p>
    <w:p w:rsidR="00890A4A" w:rsidRPr="00F80FD6" w:rsidRDefault="00890A4A" w:rsidP="00890A4A">
      <w:pPr>
        <w:pStyle w:val="Akapitzlist"/>
        <w:numPr>
          <w:ilvl w:val="0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Sprawozdania finansowe i budżetowe przechowywane są w podręcznym archiwum i gromadzone według poszczególnych lat obrotowych,</w:t>
      </w:r>
    </w:p>
    <w:p w:rsidR="00890A4A" w:rsidRPr="00F80FD6" w:rsidRDefault="00890A4A" w:rsidP="00890A4A">
      <w:pPr>
        <w:pStyle w:val="Akapitzlist"/>
        <w:numPr>
          <w:ilvl w:val="0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Dokumenty inwentaryzacyjne przechowywane są w podręcznym archiwum i gromadzone są według poszczególnych inwentaryzacji.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Księgi rachunkowe prowadzone metodą komputerową i zawarte w nich dane są chronione na komputerowych nośnikach danych</w:t>
      </w:r>
      <w:r w:rsidR="00470F69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S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ystematycznie </w:t>
      </w:r>
      <w:r w:rsidR="00470F69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tj. codziennie 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są tworzone kopie </w:t>
      </w:r>
      <w:r w:rsidR="00470F69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zapasowe wykonywane przez serwer bazodanowy na </w:t>
      </w:r>
      <w:r w:rsidR="00A814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dysk serwera </w:t>
      </w:r>
      <w:r w:rsidR="00470F69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zabezpiecz</w:t>
      </w:r>
      <w:r w:rsidR="00470F69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nośnikach magnetycznych oraz zabezpieczone przed dostępem osób nieupoważnionych. Dostęp do </w:t>
      </w:r>
      <w:r w:rsidR="000A076C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serwera jest chroniony hasłem i znajduje się w miejscu niedostępnym dla użytkowników. 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Posiadane przez jednostkę zasoby informacyjne umożliwiają uzyskanie czytelnych informacji poprzez ich wydrukowanie.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art.73 ust.1 ustawy o rachunkowości, księgi rachunkowe, sprawozdania finansowe, dowody księgowe są przechowywane w siedzibie jednostki w oryginalnej postaci i w ustalonym porządku do sposobu prowadzenia ksiąg i w sposób pozwalający na ich łatwe odszukanie:</w:t>
      </w:r>
    </w:p>
    <w:p w:rsidR="00890A4A" w:rsidRPr="00F80FD6" w:rsidRDefault="00890A4A" w:rsidP="00890A4A">
      <w:pPr>
        <w:pStyle w:val="Akapitzlist"/>
        <w:numPr>
          <w:ilvl w:val="1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Dowodów księgowych zapewnione jest poprzez oznaczenie segregatorów, w których są one przechowywane, ich numerami identyfikacyjnymi oraz latami i miesiącami, których dotyczą</w:t>
      </w:r>
    </w:p>
    <w:p w:rsidR="00890A4A" w:rsidRPr="00F80FD6" w:rsidRDefault="00890A4A" w:rsidP="00890A4A">
      <w:pPr>
        <w:pStyle w:val="Akapitzlist"/>
        <w:numPr>
          <w:ilvl w:val="1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Ksiąg rachunkowych zapewnione jest poprzez oznaczenie ksiąg rokiem obrotowym, którego  dotyczą ,</w:t>
      </w:r>
    </w:p>
    <w:p w:rsidR="00890A4A" w:rsidRPr="00F80FD6" w:rsidRDefault="00890A4A" w:rsidP="00890A4A">
      <w:pPr>
        <w:pStyle w:val="Akapitzlist"/>
        <w:numPr>
          <w:ilvl w:val="1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Sprawozdań finansowych i budżetowych poprzez oznaczenie segregatorów nazwą przechowywanych dokumentów i rokiem obrotowym, którego dotyczą,</w:t>
      </w:r>
    </w:p>
    <w:p w:rsidR="00890A4A" w:rsidRPr="00F80FD6" w:rsidRDefault="00890A4A" w:rsidP="00890A4A">
      <w:pPr>
        <w:pStyle w:val="Akapitzlist"/>
        <w:numPr>
          <w:ilvl w:val="1"/>
          <w:numId w:val="4"/>
        </w:num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Roczne zbiory dowodów księgowych i dokumentów inwentaryzacyjnych są oznaczone nazwami ich rodzaju i okresu jakiego dotyczą i przechowywane przez okres wymagany przepisami ustaw o rachunkowości.</w:t>
      </w:r>
    </w:p>
    <w:p w:rsidR="00F80FD6" w:rsidRDefault="00F80FD6" w:rsidP="00890A4A">
      <w:pPr>
        <w:spacing w:before="79" w:after="0" w:line="278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Okresy te są następujące:</w:t>
      </w:r>
    </w:p>
    <w:p w:rsidR="00890A4A" w:rsidRPr="00F80FD6" w:rsidRDefault="00890A4A" w:rsidP="00890A4A">
      <w:pPr>
        <w:spacing w:after="0" w:line="278" w:lineRule="atLeast"/>
        <w:ind w:left="76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·         zatwierdzone roczne sprawozdania finansowe podlegają trwałemu przechowywaniu.</w:t>
      </w:r>
    </w:p>
    <w:p w:rsidR="00890A4A" w:rsidRPr="00F80FD6" w:rsidRDefault="00890A4A" w:rsidP="00890A4A">
      <w:pPr>
        <w:spacing w:after="0" w:line="278" w:lineRule="atLeast"/>
        <w:ind w:left="76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·         pozostałe zbiory przechowuje się co najmniej przez okres:</w:t>
      </w:r>
    </w:p>
    <w:p w:rsidR="00890A4A" w:rsidRPr="00F80FD6" w:rsidRDefault="00890A4A" w:rsidP="00890A4A">
      <w:pPr>
        <w:spacing w:after="0" w:line="278" w:lineRule="atLeast"/>
        <w:ind w:left="76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księgi rachunkowe – 5 lat,</w:t>
      </w:r>
    </w:p>
    <w:p w:rsidR="00890A4A" w:rsidRPr="00F80FD6" w:rsidRDefault="00890A4A" w:rsidP="00890A4A">
      <w:pPr>
        <w:spacing w:after="0" w:line="278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karty wynagrodzeń pracowników bądź  ich odpowiedniki – przez okres wymaganego dostępu do tych informacji, wynikających z przepisów emerytalnych, rentowych oraz podatkowych, nie krócej jednak niż 50 lat,</w:t>
      </w:r>
    </w:p>
    <w:p w:rsidR="00890A4A" w:rsidRPr="00F80FD6" w:rsidRDefault="00890A4A" w:rsidP="00890A4A">
      <w:pPr>
        <w:spacing w:after="0" w:line="278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dowody księgowe dotyczące wieloletnich inwestycji rozpoczętych, roszczeń dochodzonych w postępowaniu cywilnym lub objętych postępowaniu karnym albo podatkowym – przez 5 lat od początku roku następ</w:t>
      </w:r>
      <w:r w:rsidR="00FE49EE"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ującego po roku obrotowym,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którym operacje, transakcje i postępowanie zostały ostatecznie zakończone, spłacone, rozliczone lub przedawnione,</w:t>
      </w:r>
    </w:p>
    <w:p w:rsidR="00890A4A" w:rsidRPr="00F80FD6" w:rsidRDefault="00890A4A" w:rsidP="00890A4A">
      <w:pPr>
        <w:spacing w:after="0" w:line="278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dokumentację przyjętego sposobu prowadzenia rachunkowości- poprzez okres nie krótszy od 5 lat od upływu jej ważności,</w:t>
      </w:r>
    </w:p>
    <w:p w:rsidR="00890A4A" w:rsidRPr="00F80FD6" w:rsidRDefault="00890A4A" w:rsidP="00890A4A">
      <w:pPr>
        <w:spacing w:after="0" w:line="278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pozostałe dowody księgowe i dokumenty – 5 lat.</w:t>
      </w:r>
    </w:p>
    <w:p w:rsidR="00890A4A" w:rsidRPr="00F80FD6" w:rsidRDefault="00890A4A" w:rsidP="00890A4A">
      <w:pPr>
        <w:spacing w:after="0" w:line="278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 określone okresy przechowywania oblicza się od początku roku następującego po roku ob</w:t>
      </w:r>
      <w:r w:rsidRPr="00A814A3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otowym, którego dane zbiory dotyczą.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Księgi rachunkowe, dowody księgowe, dokumenty inwentaryzacyjne, sprawozdania finansowe oraz inne zbiory danych są udostępniane do wglądu za zgodą Kierownika Jednostki w siedzibie jednostki.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0F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Udostępnienie  zbiorów poza siedzibę jednostki wymaga pisemnej zgody Kierownika Jednostki oraz pozostawienia w jednostce potwierdzonego spisu wydanych dokumentów, pokwitowania osoby pobierającej dokumenty.</w:t>
      </w:r>
    </w:p>
    <w:p w:rsidR="00890A4A" w:rsidRPr="00F80FD6" w:rsidRDefault="00890A4A" w:rsidP="00890A4A">
      <w:pPr>
        <w:spacing w:before="79" w:after="0" w:line="278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2FB7" w:rsidRPr="00F80FD6" w:rsidRDefault="00082FB7">
      <w:pPr>
        <w:rPr>
          <w:sz w:val="20"/>
          <w:szCs w:val="20"/>
        </w:rPr>
      </w:pPr>
    </w:p>
    <w:sectPr w:rsidR="00082FB7" w:rsidRPr="00F8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D89"/>
    <w:multiLevelType w:val="multilevel"/>
    <w:tmpl w:val="4E1A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92598"/>
    <w:multiLevelType w:val="hybridMultilevel"/>
    <w:tmpl w:val="967C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08EC"/>
    <w:multiLevelType w:val="multilevel"/>
    <w:tmpl w:val="001E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4263E"/>
    <w:multiLevelType w:val="multilevel"/>
    <w:tmpl w:val="A88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97A27"/>
    <w:multiLevelType w:val="hybridMultilevel"/>
    <w:tmpl w:val="D87CB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21D4"/>
    <w:multiLevelType w:val="multilevel"/>
    <w:tmpl w:val="26DC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·"/>
      <w:lvlJc w:val="left"/>
      <w:pPr>
        <w:ind w:left="3165" w:hanging="645"/>
      </w:pPr>
      <w:rPr>
        <w:rFonts w:ascii="Arial" w:eastAsia="Times New Roman" w:hAnsi="Arial" w:cs="Arial"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4A"/>
    <w:rsid w:val="00082FB7"/>
    <w:rsid w:val="000A076C"/>
    <w:rsid w:val="00244F68"/>
    <w:rsid w:val="002A0BB3"/>
    <w:rsid w:val="00385D09"/>
    <w:rsid w:val="003B3B5A"/>
    <w:rsid w:val="00470F69"/>
    <w:rsid w:val="004D009F"/>
    <w:rsid w:val="005053E6"/>
    <w:rsid w:val="00601FDF"/>
    <w:rsid w:val="00621586"/>
    <w:rsid w:val="007E1F24"/>
    <w:rsid w:val="00890A4A"/>
    <w:rsid w:val="008B5153"/>
    <w:rsid w:val="00967952"/>
    <w:rsid w:val="00A814A3"/>
    <w:rsid w:val="00AC2B61"/>
    <w:rsid w:val="00AF7208"/>
    <w:rsid w:val="00C17FA0"/>
    <w:rsid w:val="00F80FD6"/>
    <w:rsid w:val="00F9428D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A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A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0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3D55-3333-4E1A-911C-932A377E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Wójcik</dc:creator>
  <cp:lastModifiedBy>Admin</cp:lastModifiedBy>
  <cp:revision>6</cp:revision>
  <dcterms:created xsi:type="dcterms:W3CDTF">2023-02-07T10:49:00Z</dcterms:created>
  <dcterms:modified xsi:type="dcterms:W3CDTF">2023-03-01T08:13:00Z</dcterms:modified>
</cp:coreProperties>
</file>