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Wskaźniki realizacji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72705078125" w:line="262.93859481811523" w:lineRule="auto"/>
        <w:ind w:left="11.0400390625" w:right="-1.480712890625" w:hanging="3.09127807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Wskaźniki służą ilościowej prezentacji działań podjętych przez Grantobiorcę. Wybór wskaźników  powinien być powiązany z typem realizowanego przedsięwzięcia i planowanymi działaniami, które  Grantobiorca zamierza podjąć.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22216796875" w:line="240" w:lineRule="auto"/>
        <w:ind w:left="948.371124267578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20" w:w="11900" w:orient="portrait"/>
          <w:pgMar w:bottom="3876.400146484375" w:top="1404.00146484375" w:left="1412.0639038085938" w:right="1366.402587890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Rodzaj wskaźnika realizacji Wykaz wskaźników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275390625" w:line="242.29491233825684" w:lineRule="auto"/>
        <w:ind w:left="20.976104736328125" w:right="361.38427734375" w:hanging="9.93606567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Wskaźniki produktu – wskaźnik bezpośrednio  powiązany z wydatkowanymi środkami ponoszonymi podczas realizacji projektu.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3.21533203125" w:line="243.3812427520752" w:lineRule="auto"/>
        <w:ind w:left="11.0400390625" w:right="90.145263671875" w:hanging="2.20794677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Wskaźniki rezultatu bezpośredniego - odnoszą  się do bezpośrednich efektów projektu, stanowią wynik realizacji projektu, ale mogą  mieć na niego wpływ także inne zewnętrzne  czynniki. Dostarczają informacji o zmianach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5234375" w:line="243.38072776794434" w:lineRule="auto"/>
        <w:ind w:left="12.144012451171875" w:right="89.8193359375" w:hanging="12.144012451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jakie nastąpiły w wyniku realizacji projektu, w  porównaniu z wielkością wyjściową (bazową).  Są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20.97610473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logicznie powiązane ze wskaźnikami produktu.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10970306396484" w:lineRule="auto"/>
        <w:ind w:left="81.2139892578125" w:right="18.3544921875" w:firstLine="13.6895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Liczba zmodernizowanych źródeł ciepła [szt.] 2. Liczba wybudowanych jednostek  wytwarzania energii elektrycznej z OZE [szt.] 3. Liczba wybudowanych jednostek  wytwarzania energii cieplnej z OZE [szt.] 4. Liczba obiektów dostosowanych do potrzeb  osób z niepełnosprawnościami [szt.]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66259765625" w:line="243.38250160217285" w:lineRule="auto"/>
        <w:ind w:left="85.850830078125" w:right="20.413818359375" w:firstLine="9.0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Szacowany roczny spadek emisji gazów  cieplarnianych [tony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3916015625" w:line="243.3808422088623" w:lineRule="auto"/>
        <w:ind w:left="92.6959228515625" w:right="17.858886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równoważnika CO2] (CI 34) – wskaźnik  programowy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88.500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Roczny spadek emisji PM 10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55859375" w:line="240" w:lineRule="auto"/>
        <w:ind w:left="87.1759033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3876.400146484375" w:top="1404.00146484375" w:left="1412.0639038085938" w:right="1585.794677734375" w:header="0" w:footer="720"/>
          <w:cols w:equalWidth="0" w:num="2">
            <w:col w:space="0" w:w="4460"/>
            <w:col w:space="0" w:w="446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Roczny spadek emisji PM 2,5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8.7261962890625" w:line="261.8513774871826" w:lineRule="auto"/>
        <w:ind w:left="10.1568603515625" w:right="-3.15185546875" w:firstLine="0.88317871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ramach wniosku o udzielenie grantu Grantobiorca ma obowiązek uwzględnić wszystkie adekwatne  wskaźniki produktu oraz rezultatu bezpośredniego z listy przedstawionej w powyższej tabeli,  odpowiadające celowi projektu.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228515625" w:line="240" w:lineRule="auto"/>
        <w:ind w:left="13.027191162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Obowiązkowo należy wybrać wskaźniki: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23.1840515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Liczba zmodernizowanych źródeł ciepła [szt.]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60.76547622680664" w:lineRule="auto"/>
        <w:ind w:left="20.976104736328125" w:right="-6.400146484375" w:hanging="4.1952514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Szacowany roczny spadek emisji gazów cieplarnianych [tony równoważnika CO2] (CI 34) – wskaźnik  programowy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4219970703125" w:line="240" w:lineRule="auto"/>
        <w:ind w:left="15.45608520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Roczny spadek emisji PM 10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40380859375" w:line="240" w:lineRule="auto"/>
        <w:ind w:left="9.49447631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Roczny spadek emisji PM 2,5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1265869140625" w:line="260.7652759552002" w:lineRule="auto"/>
        <w:ind w:left="14.131317138671875" w:right="-5.286865234375" w:firstLine="8.6111450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Uwaga: wartości wskaźnika nr 2, 3 i 4 muszą wynikać wprost z dołączonego, -ych do wniosku  o udzielenie grantu uproszczonego, -ych audytu, -ów energetycznego, -ych. </w:t>
      </w:r>
    </w:p>
    <w:sectPr>
      <w:type w:val="continuous"/>
      <w:pgSz w:h="16820" w:w="11900" w:orient="portrait"/>
      <w:pgMar w:bottom="3876.400146484375" w:top="1404.00146484375" w:left="1412.0639038085938" w:right="1366.402587890625" w:header="0" w:footer="720"/>
      <w:cols w:equalWidth="0" w:num="1">
        <w:col w:space="0" w:w="9121.53350830078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