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right"/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65.1pt,681.05pt" to="97.55pt,681.05pt" style="position:absolute;mso-position-horizontal-relative:page;mso-position-vertical-relative:page;">
            <v:stroke dashstyle="shortdot"/>
          </v:line>
        </w:pic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ZARZ</w: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ĄDZENIE NR</w:t>
      </w:r>
    </w:p>
    <w:p>
      <w:pPr>
        <w:ind w:right="0" w:left="2808" w:firstLine="0"/>
        <w:spacing w:before="0" w:after="0" w:line="206" w:lineRule="auto"/>
        <w:jc w:val="left"/>
        <w:rPr>
          <w:b w:val="true"/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line strokeweight="2pt" strokecolor="#000000" from="292.35pt,-4.5pt" to="351.95pt,-4.5pt" style="position:absolute;mso-position-horizontal-relative:text;mso-position-vertical-relative:text;">
            <v:stroke dashstyle="shortdot"/>
          </v:line>
        </w:pict>
      </w:r>
      <w:r>
        <w:rPr>
          <w:b w:val="true"/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BURMISTRZA MIASTA </w:t>
      </w:r>
      <w:r>
        <w:rPr>
          <w:b w:val="true"/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Ś IEBODZICE</w:t>
      </w:r>
    </w:p>
    <w:p>
      <w:pPr>
        <w:ind w:right="0" w:left="3240" w:firstLine="0"/>
        <w:spacing w:before="180" w:after="0" w:line="349" w:lineRule="exact"/>
        <w:jc w:val="left"/>
        <w:tabs>
          <w:tab w:val="left" w:leader="none" w:pos="4545"/>
          <w:tab w:val="right" w:leader="dot" w:pos="6617"/>
        </w:tabs>
        <w:rPr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 dnia</w:t>
      </w:r>
      <w:r>
        <w:rPr>
          <w:color w:val="#8985D4"/>
          <w:sz w:val="6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8985D4"/>
          <w:sz w:val="6"/>
          <w:lang w:val="pl-PL"/>
          <w:spacing w:val="46"/>
          <w:w w:val="100"/>
          <w:strike w:val="false"/>
          <w:vertAlign w:val="baseline"/>
          <w:rFonts w:ascii="Times New Roman" w:hAnsi="Times New Roman"/>
        </w:rPr>
        <w:t xml:space="preserve">.......</w:t>
      </w:r>
      <w:r>
        <w:rPr>
          <w:i w:val="true"/>
          <w:color w:val="#8985D4"/>
          <w:sz w:val="43"/>
          <w:lang w:val="pl-PL"/>
          <w:spacing w:val="46"/>
          <w:w w:val="80"/>
          <w:strike w:val="false"/>
          <w:vertAlign w:val="baseline"/>
          <w:rFonts w:ascii="Times New Roman" w:hAnsi="Times New Roman"/>
        </w:rPr>
        <w:t xml:space="preserve"> e</w:t>
      </w:r>
      <w:r>
        <w:rPr>
          <w:color w:val="#000000"/>
          <w:sz w:val="23"/>
          <w:lang w:val="pl-PL"/>
          <w:spacing w:val="46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2020 r.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 sprawie powo</w:t>
        <w:br/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łania komisji konkursowej do oceny ofert dotyczących realizacji zadań publicznych
</w:t>
        <w:br/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 zakresu Wspierania i Upowszechniania Kultury Fizycznej i Sportu; Ochrony i Promocji Zdrowia;
</w:t>
        <w:br/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Kultury, Sztuki oraz Ochrony Dziedzictwa Narodowego; Nauki, Szkolnictwa Wyższego, Edukacji,
</w:t>
        <w:br/>
      </w:r>
      <w:r>
        <w:rPr>
          <w:b w:val="true"/>
          <w:color w:val="#000000"/>
          <w:sz w:val="23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Oświaty i Wychowania na rok 2020</w:t>
      </w:r>
    </w:p>
    <w:p>
      <w:pPr>
        <w:ind w:right="0" w:left="0" w:firstLine="216"/>
        <w:spacing w:before="468" w:after="0" w:line="240" w:lineRule="auto"/>
        <w:jc w:val="both"/>
        <w:rPr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Na podstawie art. 30 ust. 1 ustawy z dnia 8 marca 1990 r. o samorz</w:t>
      </w:r>
      <w:r>
        <w:rPr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ądzie gminnym (Dz. U. z 2019 r. </w:t>
      </w:r>
      <w:r>
        <w:rPr>
          <w:color w:val="#000000"/>
          <w:sz w:val="23"/>
          <w:lang w:val="pl-PL"/>
          <w:spacing w:val="2"/>
          <w:w w:val="100"/>
          <w:strike w:val="false"/>
          <w:vertAlign w:val="baseline"/>
          <w:rFonts w:ascii="Times New Roman" w:hAnsi="Times New Roman"/>
        </w:rPr>
        <w:t xml:space="preserve">poz. 506 z </w:t>
      </w:r>
      <w:hyperlink r:id="drId3">
        <w:r>
          <w:rPr>
            <w:color w:val="#0000FF"/>
            <w:sz w:val="23"/>
            <w:lang w:val="pl-PL"/>
            <w:spacing w:val="2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późn. zm</w:t>
        </w:r>
      </w:hyperlink>
      <w:r>
        <w:rPr>
          <w:color w:val="#000000"/>
          <w:sz w:val="23"/>
          <w:lang w:val="pl-PL"/>
          <w:spacing w:val="2"/>
          <w:w w:val="100"/>
          <w:strike w:val="false"/>
          <w:vertAlign w:val="baseline"/>
          <w:rFonts w:ascii="Times New Roman" w:hAnsi="Times New Roman"/>
        </w:rPr>
        <w:t xml:space="preserve">.) oraz art. 15 ust. 2a ustawy z dnia 24 kwietnia 2003 r. o działalności pożytku </w:t>
      </w:r>
      <w:r>
        <w:rPr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publicznego i o wolontariacie (Dz. U. z 2019 r. poz. 688 z </w:t>
      </w:r>
      <w:hyperlink r:id="drId4">
        <w:r>
          <w:rPr>
            <w:color w:val="#0000FF"/>
            <w:sz w:val="23"/>
            <w:lang w:val="pl-PL"/>
            <w:spacing w:val="0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późn. zm</w:t>
        </w:r>
      </w:hyperlink>
      <w:r>
        <w:rPr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.), zarządza się, co następuje:</w:t>
      </w:r>
    </w:p>
    <w:p>
      <w:pPr>
        <w:ind w:right="0" w:left="0" w:firstLine="504"/>
        <w:spacing w:before="108" w:after="0" w:line="240" w:lineRule="auto"/>
        <w:jc w:val="both"/>
        <w:rPr>
          <w:color w:val="#000000"/>
          <w:sz w:val="23"/>
          <w:lang w:val="pl-PL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7"/>
          <w:w w:val="100"/>
          <w:strike w:val="false"/>
          <w:vertAlign w:val="baseline"/>
          <w:rFonts w:ascii="Times New Roman" w:hAnsi="Times New Roman"/>
        </w:rPr>
        <w:t xml:space="preserve">1. Powo</w:t>
      </w:r>
      <w:r>
        <w:rPr>
          <w:color w:val="#000000"/>
          <w:sz w:val="23"/>
          <w:lang w:val="pl-PL"/>
          <w:spacing w:val="7"/>
          <w:w w:val="100"/>
          <w:strike w:val="false"/>
          <w:vertAlign w:val="baseline"/>
          <w:rFonts w:ascii="Times New Roman" w:hAnsi="Times New Roman"/>
        </w:rPr>
        <w:t xml:space="preserve">łuje się komisję konkursową do oceny ofert dotyczących realizacji zadań publicznych </w:t>
      </w:r>
      <w:r>
        <w:rPr>
          <w:color w:val="#000000"/>
          <w:sz w:val="23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z zakresu Wspierania i Upowszechniania Kultury Fizycznej i Sportu; Ochrony i Promocji Zdrowia; Kultury, Sztuki oraz Ochrony Dziedzictwa Narodowego; Nauki, Szkolnictwa Wyższego, Edukacji, </w:t>
      </w:r>
      <w:r>
        <w:rPr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Oświaty i Wychowania na rok 2020.</w:t>
      </w:r>
    </w:p>
    <w:p>
      <w:pPr>
        <w:ind w:right="0" w:left="360" w:firstLine="0"/>
        <w:spacing w:before="108" w:after="0" w:line="264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Sk</w:t>
      </w:r>
      <w:r>
        <w:rPr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ład komisji oraz regulamin jej pracy określa załącznik do niniejszego Zarządzenia.</w:t>
      </w:r>
    </w:p>
    <w:p>
      <w:pPr>
        <w:ind w:right="0" w:left="360" w:firstLine="0"/>
        <w:spacing w:before="108" w:after="0" w:line="283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Odpowiedzialno</w:t>
      </w:r>
      <w:r>
        <w:rPr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ść za realizację Zarządzenia powierza się Burmistrzowi Miasta Świebodzice.</w:t>
      </w:r>
    </w:p>
    <w:p>
      <w:pPr>
        <w:ind w:right="0" w:left="360" w:firstLine="0"/>
        <w:spacing w:before="108" w:after="0" w:line="240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Zarz</w:t>
      </w:r>
      <w:r>
        <w:rPr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ądzenie wchodzi w życie </w:t>
      </w:r>
      <w:r>
        <w:rPr>
          <w:i w:val="true"/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z </w:t>
      </w:r>
      <w:r>
        <w:rPr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dniem podpisania.</w:t>
      </w:r>
    </w:p>
    <w:p>
      <w:pPr>
        <w:ind w:right="0" w:left="216" w:firstLine="0"/>
        <w:spacing w:before="2160" w:after="0" w:line="240" w:lineRule="auto"/>
        <w:jc w:val="left"/>
        <w:rPr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Otrzymuj</w:t>
      </w:r>
      <w:r>
        <w:rPr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ą:</w:t>
      </w:r>
    </w:p>
    <w:p>
      <w:pPr>
        <w:ind w:right="0" w:left="504" w:firstLine="0"/>
        <w:spacing w:before="108" w:after="0" w:line="240" w:lineRule="auto"/>
        <w:jc w:val="left"/>
        <w:rPr>
          <w:color w:val="#000000"/>
          <w:sz w:val="23"/>
          <w:lang w:val="pl-PL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1xWydzia</w:t>
      </w:r>
      <w:r>
        <w:rPr>
          <w:color w:val="#000000"/>
          <w:sz w:val="23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ł OA</w:t>
      </w:r>
    </w:p>
    <w:p>
      <w:pPr>
        <w:ind w:right="0" w:left="504" w:firstLine="0"/>
        <w:spacing w:before="144" w:after="0" w:line="240" w:lineRule="auto"/>
        <w:jc w:val="left"/>
        <w:rPr>
          <w:color w:val="#000000"/>
          <w:sz w:val="23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lx Wydzia</w:t>
      </w:r>
      <w:r>
        <w:rPr>
          <w:color w:val="#000000"/>
          <w:sz w:val="23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ł PK</w:t>
      </w:r>
    </w:p>
    <w:p>
      <w:pPr>
        <w:ind w:right="0" w:left="216" w:firstLine="0"/>
        <w:spacing w:before="1656" w:after="72" w:line="240" w:lineRule="auto"/>
        <w:jc w:val="left"/>
        <w:rPr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Radca prawny:</w:t>
      </w:r>
    </w:p>
    <w:p>
      <w:pPr>
        <w:ind w:right="6936" w:left="864"/>
        <w:spacing w:before="144" w:after="0" w:line="240" w:lineRule="auto"/>
        <w:jc w:val="left"/>
      </w:pPr>
      <w:r>
        <w:drawing>
          <wp:inline>
            <wp:extent cx="1259840" cy="71310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8" w:h="16854" w:orient="portrait"/>
      <w:type w:val="nextPage"/>
      <w:textDirection w:val="lrTb"/>
      <w:pgMar w:bottom="2682" w:top="1402" w:right="988" w:left="105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§ %1"/>
      <w:start w:val="2"/>
      <w:lvlJc w:val="left"/>
      <w:pPr>
        <w:ind w:left="720"/>
        <w:tabs>
          <w:tab w:val="decimal" w:pos="432"/>
        </w:tabs>
      </w:pPr>
      <w:rPr>
        <w:color w:val="#000000"/>
        <w:sz w:val="23"/>
        <w:lang w:val="pl-PL"/>
        <w:spacing w:val="-1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&#243;&#378;n.zm" TargetMode="External" Id="drId3" /><Relationship Type="http://schemas.openxmlformats.org/officeDocument/2006/relationships/hyperlink" Target="http://p&#243;&#378;n.zm" TargetMode="External" Id="drId4" /><Relationship Type="http://schemas.openxmlformats.org/officeDocument/2006/relationships/numbering" Target="/word/numbering.xml" Id="drId5" /><Relationship Type="http://schemas.openxmlformats.org/officeDocument/2006/relationships/image" Target="/word/media/image1.png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