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552312" w14:textId="77777777" w:rsidR="00806E7B" w:rsidRDefault="00806E7B" w:rsidP="00806E7B">
      <w:pPr>
        <w:tabs>
          <w:tab w:val="left" w:pos="3264"/>
        </w:tabs>
        <w:spacing w:after="0" w:line="276" w:lineRule="auto"/>
        <w:jc w:val="center"/>
        <w:rPr>
          <w:rFonts w:cstheme="minorHAnsi"/>
          <w:b/>
          <w:bCs/>
          <w:sz w:val="28"/>
          <w:szCs w:val="28"/>
        </w:rPr>
      </w:pPr>
    </w:p>
    <w:p w14:paraId="53677A75" w14:textId="10BB3334" w:rsidR="00806E7B" w:rsidRPr="00806E7B" w:rsidRDefault="00121DC3" w:rsidP="00806E7B">
      <w:pPr>
        <w:tabs>
          <w:tab w:val="left" w:pos="3264"/>
        </w:tabs>
        <w:spacing w:after="0" w:line="276" w:lineRule="auto"/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1110</w:t>
      </w:r>
      <w:r w:rsidR="00806E7B" w:rsidRPr="00806E7B">
        <w:rPr>
          <w:rFonts w:cstheme="minorHAnsi"/>
          <w:b/>
          <w:bCs/>
          <w:sz w:val="28"/>
          <w:szCs w:val="28"/>
        </w:rPr>
        <w:t xml:space="preserve"> drużyn z województwa </w:t>
      </w:r>
      <w:r>
        <w:rPr>
          <w:rFonts w:cstheme="minorHAnsi"/>
          <w:b/>
          <w:bCs/>
          <w:sz w:val="28"/>
          <w:szCs w:val="28"/>
        </w:rPr>
        <w:t>lubelskiego</w:t>
      </w:r>
      <w:r w:rsidR="00806E7B" w:rsidRPr="00806E7B">
        <w:rPr>
          <w:rFonts w:cstheme="minorHAnsi"/>
          <w:b/>
          <w:bCs/>
          <w:sz w:val="28"/>
          <w:szCs w:val="28"/>
        </w:rPr>
        <w:t xml:space="preserve"> zgłoszonych </w:t>
      </w:r>
      <w:r w:rsidR="00806E7B">
        <w:rPr>
          <w:rFonts w:cstheme="minorHAnsi"/>
          <w:b/>
          <w:bCs/>
          <w:sz w:val="28"/>
          <w:szCs w:val="28"/>
        </w:rPr>
        <w:br/>
      </w:r>
      <w:r w:rsidR="00806E7B" w:rsidRPr="00806E7B">
        <w:rPr>
          <w:rFonts w:cstheme="minorHAnsi"/>
          <w:b/>
          <w:bCs/>
          <w:sz w:val="28"/>
          <w:szCs w:val="28"/>
        </w:rPr>
        <w:t>do gry w Pucharze Tymbarku!</w:t>
      </w:r>
    </w:p>
    <w:p w14:paraId="43D1AE46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cstheme="minorHAnsi"/>
        </w:rPr>
      </w:pPr>
    </w:p>
    <w:p w14:paraId="5E17901D" w14:textId="6B22232F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cstheme="minorHAnsi"/>
          <w:b/>
          <w:bCs/>
        </w:rPr>
      </w:pPr>
      <w:r w:rsidRPr="00806E7B">
        <w:rPr>
          <w:rFonts w:cstheme="minorHAnsi"/>
          <w:b/>
          <w:bCs/>
        </w:rPr>
        <w:t>Uczniowie w całej Polsce rozpoczęli rywalizację w ramach XXV edycji Pucharu Tymbarku. W</w:t>
      </w:r>
      <w:r>
        <w:rPr>
          <w:rFonts w:cstheme="minorHAnsi"/>
          <w:b/>
          <w:bCs/>
        </w:rPr>
        <w:t> </w:t>
      </w:r>
      <w:r w:rsidRPr="00806E7B">
        <w:rPr>
          <w:rFonts w:cstheme="minorHAnsi"/>
          <w:b/>
          <w:bCs/>
        </w:rPr>
        <w:t xml:space="preserve">województwie </w:t>
      </w:r>
      <w:r w:rsidR="00FF1C3B">
        <w:rPr>
          <w:rFonts w:cstheme="minorHAnsi"/>
          <w:b/>
          <w:bCs/>
        </w:rPr>
        <w:t>lubelskim</w:t>
      </w:r>
      <w:r w:rsidRPr="00806E7B">
        <w:rPr>
          <w:rFonts w:cstheme="minorHAnsi"/>
          <w:b/>
          <w:bCs/>
        </w:rPr>
        <w:t xml:space="preserve"> zapisało się aż </w:t>
      </w:r>
      <w:r w:rsidR="00FF1C3B">
        <w:rPr>
          <w:rFonts w:cstheme="minorHAnsi"/>
          <w:b/>
          <w:bCs/>
        </w:rPr>
        <w:t>1110</w:t>
      </w:r>
      <w:r w:rsidRPr="00806E7B">
        <w:rPr>
          <w:rFonts w:cstheme="minorHAnsi"/>
          <w:b/>
          <w:bCs/>
        </w:rPr>
        <w:t xml:space="preserve"> drużyn. Czas i miejsce rozgrywek można śledzić w</w:t>
      </w:r>
      <w:r>
        <w:rPr>
          <w:rFonts w:cstheme="minorHAnsi"/>
          <w:b/>
          <w:bCs/>
        </w:rPr>
        <w:t> </w:t>
      </w:r>
      <w:r w:rsidRPr="00806E7B">
        <w:rPr>
          <w:rFonts w:cstheme="minorHAnsi"/>
          <w:b/>
          <w:bCs/>
        </w:rPr>
        <w:t xml:space="preserve">aplikacji </w:t>
      </w:r>
      <w:hyperlink r:id="rId9" w:history="1">
        <w:r w:rsidRPr="00F608E4">
          <w:rPr>
            <w:rStyle w:val="Hipercze"/>
            <w:b/>
            <w:bCs/>
          </w:rPr>
          <w:t>PZPN – Co? Gdzie? Kiedy?</w:t>
        </w:r>
      </w:hyperlink>
      <w:r>
        <w:t>.</w:t>
      </w:r>
    </w:p>
    <w:p w14:paraId="49009CD3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cstheme="minorHAnsi"/>
        </w:rPr>
      </w:pPr>
    </w:p>
    <w:p w14:paraId="378D20E5" w14:textId="794A8BF5" w:rsidR="00806E7B" w:rsidRPr="00806E7B" w:rsidRDefault="00FF1C3B" w:rsidP="00806E7B">
      <w:pPr>
        <w:tabs>
          <w:tab w:val="left" w:pos="3264"/>
        </w:tabs>
        <w:spacing w:after="0" w:line="276" w:lineRule="auto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Lubelskie</w:t>
      </w:r>
      <w:r w:rsidR="00806E7B" w:rsidRPr="00806E7B">
        <w:rPr>
          <w:rFonts w:cstheme="minorHAnsi"/>
          <w:b/>
          <w:bCs/>
        </w:rPr>
        <w:t xml:space="preserve"> walczy o Wielki Finał!</w:t>
      </w:r>
    </w:p>
    <w:p w14:paraId="3C33CDA7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cstheme="minorHAnsi"/>
        </w:rPr>
      </w:pPr>
    </w:p>
    <w:p w14:paraId="2A655F0E" w14:textId="3B77E93D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cstheme="minorHAnsi"/>
        </w:rPr>
      </w:pPr>
      <w:r w:rsidRPr="00806E7B">
        <w:rPr>
          <w:rFonts w:cstheme="minorHAnsi"/>
        </w:rPr>
        <w:t xml:space="preserve">Od września do lutego szkoły w całej Polsce zgłaszały drużyny do XXV edycji Pucharu Tymbarku, największego w Europie turnieju piłkarskiego dla dzieci. </w:t>
      </w:r>
      <w:r w:rsidR="00E52EF6">
        <w:rPr>
          <w:rFonts w:cstheme="minorHAnsi"/>
        </w:rPr>
        <w:t xml:space="preserve">W województwie lubelskim </w:t>
      </w:r>
      <w:r w:rsidRPr="00806E7B">
        <w:rPr>
          <w:rFonts w:cstheme="minorHAnsi"/>
        </w:rPr>
        <w:t>o udziału w</w:t>
      </w:r>
      <w:r w:rsidR="001262F7">
        <w:rPr>
          <w:rFonts w:cstheme="minorHAnsi"/>
        </w:rPr>
        <w:t> </w:t>
      </w:r>
      <w:r w:rsidRPr="00806E7B">
        <w:rPr>
          <w:rFonts w:cstheme="minorHAnsi"/>
        </w:rPr>
        <w:t>tegorocznej edycji zgłosiło się o</w:t>
      </w:r>
      <w:r>
        <w:rPr>
          <w:rFonts w:cstheme="minorHAnsi"/>
        </w:rPr>
        <w:t> </w:t>
      </w:r>
      <w:r w:rsidR="004163B2">
        <w:rPr>
          <w:rFonts w:cstheme="minorHAnsi"/>
        </w:rPr>
        <w:t>6</w:t>
      </w:r>
      <w:r w:rsidR="00636208">
        <w:rPr>
          <w:rFonts w:cstheme="minorHAnsi"/>
        </w:rPr>
        <w:t> </w:t>
      </w:r>
      <w:r w:rsidRPr="00806E7B">
        <w:rPr>
          <w:rFonts w:cstheme="minorHAnsi"/>
        </w:rPr>
        <w:t>proc. więcej zespołów niż rok wcześniej. Największy wzrost odnotowano w kategorii U-</w:t>
      </w:r>
      <w:r w:rsidR="006E0D1D">
        <w:rPr>
          <w:rFonts w:cstheme="minorHAnsi"/>
        </w:rPr>
        <w:t>8</w:t>
      </w:r>
      <w:r w:rsidRPr="00806E7B">
        <w:rPr>
          <w:rFonts w:cstheme="minorHAnsi"/>
        </w:rPr>
        <w:t xml:space="preserve"> dziewcząt (+</w:t>
      </w:r>
      <w:r w:rsidR="006E0D1D">
        <w:rPr>
          <w:rFonts w:cstheme="minorHAnsi"/>
        </w:rPr>
        <w:t>27</w:t>
      </w:r>
      <w:r w:rsidRPr="00806E7B">
        <w:rPr>
          <w:rFonts w:cstheme="minorHAnsi"/>
        </w:rPr>
        <w:t xml:space="preserve"> proc. r/r). Biorąc pod uwagę podział ze względu na kategorie wiekowe, to największy wzrost odnotowano w U-1</w:t>
      </w:r>
      <w:r w:rsidR="00186544">
        <w:rPr>
          <w:rFonts w:cstheme="minorHAnsi"/>
        </w:rPr>
        <w:t>0</w:t>
      </w:r>
      <w:r w:rsidRPr="00806E7B">
        <w:rPr>
          <w:rFonts w:cstheme="minorHAnsi"/>
        </w:rPr>
        <w:t xml:space="preserve"> (+</w:t>
      </w:r>
      <w:r w:rsidR="00186544">
        <w:rPr>
          <w:rFonts w:cstheme="minorHAnsi"/>
        </w:rPr>
        <w:t>11</w:t>
      </w:r>
      <w:r w:rsidRPr="00806E7B">
        <w:rPr>
          <w:rFonts w:cstheme="minorHAnsi"/>
        </w:rPr>
        <w:t xml:space="preserve"> proc. r/r). </w:t>
      </w:r>
    </w:p>
    <w:p w14:paraId="0DFC5855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cstheme="minorHAnsi"/>
        </w:rPr>
      </w:pPr>
    </w:p>
    <w:p w14:paraId="24D569DB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cstheme="minorHAnsi"/>
          <w:b/>
          <w:bCs/>
        </w:rPr>
      </w:pPr>
      <w:r w:rsidRPr="00806E7B">
        <w:rPr>
          <w:rFonts w:cstheme="minorHAnsi"/>
          <w:b/>
          <w:bCs/>
        </w:rPr>
        <w:t>Cała Polska gra w Pucharze Tymbarku</w:t>
      </w:r>
    </w:p>
    <w:p w14:paraId="2A4ABA25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cstheme="minorHAnsi"/>
        </w:rPr>
      </w:pPr>
    </w:p>
    <w:p w14:paraId="0FD3F124" w14:textId="4B71D84E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cstheme="minorHAnsi"/>
        </w:rPr>
      </w:pPr>
      <w:r w:rsidRPr="00806E7B">
        <w:rPr>
          <w:rFonts w:cstheme="minorHAnsi"/>
        </w:rPr>
        <w:t>Co trzecia szkoła podstawowa w Polsce zgłosiła drużyny do udziału w jubileuszowej XXV edycji Pucharu Tymbarku. Jak co roku, rozgrywki rozpoczynają się od etapu regionalnego – gminnego i powiatowego – rozgrywanego w marcu i kwietniu. Zwycięzcy etapu gminnego zmierzą się w finałach powiatowych, by następnie zawalczyć w maju w finale wojewódzkim. Jak w poprzednich edycjach, rywalizacja drużyn w</w:t>
      </w:r>
      <w:r>
        <w:rPr>
          <w:rFonts w:cstheme="minorHAnsi"/>
        </w:rPr>
        <w:t> </w:t>
      </w:r>
      <w:r w:rsidRPr="00806E7B">
        <w:rPr>
          <w:rFonts w:cstheme="minorHAnsi"/>
        </w:rPr>
        <w:t xml:space="preserve">kategorii U-8 zakończy się na etapie wojewódzkim, natomiast starsze kategorie wiekowe zmierzą się w czerwcu w Finale Ogólnopolskim, który w tym roku odbędzie się przed towarzyskim meczem reprezentacji Polski na Stadionie Śląskim w Chorzowie.  </w:t>
      </w:r>
    </w:p>
    <w:p w14:paraId="50D6A16F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cstheme="minorHAnsi"/>
        </w:rPr>
      </w:pPr>
    </w:p>
    <w:p w14:paraId="54FBF15F" w14:textId="3BA10B4D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cstheme="minorHAnsi"/>
        </w:rPr>
      </w:pPr>
      <w:r w:rsidRPr="00806E7B">
        <w:rPr>
          <w:rFonts w:cstheme="minorHAnsi"/>
        </w:rPr>
        <w:t xml:space="preserve">Co ważne, rodzice mają czas na zgłoszenie dzieci do drużyn zapisanych do turnieju tylko do momentu startu rozgrywek w danym regionie. W przejściu przez proces rejestracji pomagają koordynatorzy regionalni oraz wojewódzcy, a także </w:t>
      </w:r>
      <w:proofErr w:type="spellStart"/>
      <w:r w:rsidRPr="00806E7B">
        <w:rPr>
          <w:rFonts w:cstheme="minorHAnsi"/>
        </w:rPr>
        <w:t>webinar</w:t>
      </w:r>
      <w:proofErr w:type="spellEnd"/>
      <w:r w:rsidRPr="00806E7B">
        <w:rPr>
          <w:rFonts w:cstheme="minorHAnsi"/>
        </w:rPr>
        <w:t xml:space="preserve"> przygotowany dla rodziców: </w:t>
      </w:r>
      <w:hyperlink r:id="rId10" w:history="1">
        <w:r w:rsidRPr="00F608E4">
          <w:rPr>
            <w:rStyle w:val="Hipercze"/>
          </w:rPr>
          <w:t>Jak zgłosić dziecko do Pucharu Tymbarku | Puchar Tymbarku</w:t>
        </w:r>
      </w:hyperlink>
      <w:r>
        <w:t>.</w:t>
      </w:r>
    </w:p>
    <w:p w14:paraId="60679F61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cstheme="minorHAnsi"/>
        </w:rPr>
      </w:pPr>
    </w:p>
    <w:p w14:paraId="025A2C3A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cstheme="minorHAnsi"/>
          <w:b/>
          <w:bCs/>
        </w:rPr>
      </w:pPr>
      <w:r w:rsidRPr="00806E7B">
        <w:rPr>
          <w:rFonts w:cstheme="minorHAnsi"/>
          <w:b/>
          <w:bCs/>
        </w:rPr>
        <w:t xml:space="preserve">Turniej, wychowujący przyszłych reprezentantów </w:t>
      </w:r>
    </w:p>
    <w:p w14:paraId="585F5455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cstheme="minorHAnsi"/>
        </w:rPr>
      </w:pPr>
    </w:p>
    <w:p w14:paraId="5C33219D" w14:textId="129EBBA3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cstheme="minorHAnsi"/>
        </w:rPr>
      </w:pPr>
      <w:r w:rsidRPr="00806E7B">
        <w:rPr>
          <w:rFonts w:cstheme="minorHAnsi"/>
        </w:rPr>
        <w:t xml:space="preserve">O tym, że Puchar Tymbarku jest kuźnią piłkarskich talentów świadczy fakt, że aż ponad 80 reprezentantek i reprezentantów Polski pierwsze kroki stawiało w tym turnieju. Połowa seniorskich reprezentacji Polski to byli uczestnicy Pucharu Tymbarku. W kadrach młodzieżowych odsetek ten </w:t>
      </w:r>
      <w:r w:rsidRPr="00806E7B">
        <w:rPr>
          <w:rFonts w:cstheme="minorHAnsi"/>
        </w:rPr>
        <w:lastRenderedPageBreak/>
        <w:t xml:space="preserve">stanowi </w:t>
      </w:r>
      <w:r>
        <w:rPr>
          <w:rFonts w:cstheme="minorHAnsi"/>
        </w:rPr>
        <w:t xml:space="preserve">ok. </w:t>
      </w:r>
      <w:r w:rsidRPr="00806E7B">
        <w:rPr>
          <w:rFonts w:cstheme="minorHAnsi"/>
        </w:rPr>
        <w:t>80-90 proc. Co istotne, aż 10 reprezentantek Polski, które wywalczyły historyczny awans na Euro 2025, grało w Pucharze Tymbarku.</w:t>
      </w:r>
      <w:r>
        <w:rPr>
          <w:rFonts w:cstheme="minorHAnsi"/>
        </w:rPr>
        <w:t xml:space="preserve"> </w:t>
      </w:r>
      <w:r w:rsidRPr="00806E7B">
        <w:rPr>
          <w:rFonts w:cstheme="minorHAnsi"/>
          <w:i/>
          <w:iCs/>
        </w:rPr>
        <w:t>– Puchar Tymbarku to wspaniały projekt, skierowany do placówek oświaty, wspierający nasz skauting. Podczas tego turnieju mamy możliwość przyjrzenia się tysiącom piłkarek i piłkarzy, którzy nie zawsze znajdują się już w naszym systemie szkoleniowym. Podczas mistrzostw świata U-17 aż 19 z 21 piłkarek pierwsze futbolowe kroki stawiało właśnie w Pucharze Tymbarku. To wskazuje też na trafność selekcyjną piłkarek w wieku od 7 do 12 lat. Turniej jest idealnym miejscem dla osób z małych miejscowości do pokazania siebie, swoich umiejętności, swoich atutów, by zostać dostrzeżonym przez trenerów reprezentacji młodzieżowych czy skautów PZPN</w:t>
      </w:r>
      <w:r>
        <w:rPr>
          <w:rFonts w:cstheme="minorHAnsi"/>
        </w:rPr>
        <w:t xml:space="preserve"> – mówi </w:t>
      </w:r>
      <w:r w:rsidRPr="00806E7B">
        <w:rPr>
          <w:rFonts w:cstheme="minorHAnsi"/>
        </w:rPr>
        <w:t>Marcin Kasprowicz, selekcjoner reprezentacji Polski kobiet U-19</w:t>
      </w:r>
      <w:r>
        <w:rPr>
          <w:rFonts w:cstheme="minorHAnsi"/>
        </w:rPr>
        <w:t>. W czerwcu kolejne byłe uczestniczki turnieju będą mogły zmierzyć się w dużej imprezie</w:t>
      </w:r>
      <w:r w:rsidR="005A4C78">
        <w:rPr>
          <w:rFonts w:cstheme="minorHAnsi"/>
        </w:rPr>
        <w:t xml:space="preserve"> międzynarodowej</w:t>
      </w:r>
      <w:r>
        <w:rPr>
          <w:rFonts w:cstheme="minorHAnsi"/>
        </w:rPr>
        <w:t xml:space="preserve"> – mistrzostwach Europy U-19 kobiet, które zostaną rozegrane na Podkarpaciu.</w:t>
      </w:r>
    </w:p>
    <w:p w14:paraId="309D619F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cstheme="minorHAnsi"/>
        </w:rPr>
      </w:pPr>
    </w:p>
    <w:p w14:paraId="20B6E595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cstheme="minorHAnsi"/>
        </w:rPr>
      </w:pPr>
      <w:r w:rsidRPr="00806E7B">
        <w:rPr>
          <w:rFonts w:cstheme="minorHAnsi"/>
        </w:rPr>
        <w:t>XXV edycja Pucharu Tymbarku odbywa się pod Patronatem Honorowym Prezydenta RP Andrzeja Dudy, natomiast w Komitecie Honorowym znajduje się Minister Sportu i Turystyki oraz Minister Edukacji.</w:t>
      </w:r>
    </w:p>
    <w:p w14:paraId="23925049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cstheme="minorHAnsi"/>
        </w:rPr>
      </w:pPr>
    </w:p>
    <w:p w14:paraId="3F1EBB1D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center"/>
        <w:rPr>
          <w:rFonts w:cstheme="minorHAnsi"/>
        </w:rPr>
      </w:pPr>
      <w:r w:rsidRPr="00806E7B">
        <w:rPr>
          <w:rFonts w:cstheme="minorHAnsi"/>
        </w:rPr>
        <w:t>***</w:t>
      </w:r>
    </w:p>
    <w:p w14:paraId="18FD2306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</w:p>
    <w:p w14:paraId="42356EB4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b/>
          <w:bCs/>
          <w:sz w:val="14"/>
          <w:szCs w:val="14"/>
        </w:rPr>
      </w:pPr>
      <w:r w:rsidRPr="00806E7B">
        <w:rPr>
          <w:rFonts w:ascii="Calibri" w:hAnsi="Calibri" w:cs="Calibri"/>
          <w:b/>
          <w:bCs/>
          <w:sz w:val="14"/>
          <w:szCs w:val="14"/>
        </w:rPr>
        <w:t>O TURNIEJU</w:t>
      </w:r>
    </w:p>
    <w:p w14:paraId="16E4BAD9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  <w:r w:rsidRPr="00806E7B">
        <w:rPr>
          <w:rFonts w:ascii="Calibri" w:hAnsi="Calibri" w:cs="Calibri"/>
          <w:sz w:val="14"/>
          <w:szCs w:val="14"/>
        </w:rPr>
        <w:t xml:space="preserve">Od 2000 r. Polski Związek Piłki Nożnej organizuje największy w Europie turniej piłkarski dzieci, realizowany w trzech kategoriach wiekowych: do lat 8, 10 i 12. Do tej pory w rozgrywkach udział wzięło wiele piłkarek i piłkarzy grających dziś w najlepszych klubach europejskich oraz reprezentacji Polski. Od 2007 r. Sponsorem generalnym wydarzenia jest marka Tymbark. Więcej informacji na temat Pucharu Tymbarku, nagród oraz formularz zgłoszeniowy znajdują się na stronie: www.laczynaspilka.pl/puchartymbarku. </w:t>
      </w:r>
    </w:p>
    <w:p w14:paraId="5FE0C6EF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</w:p>
    <w:p w14:paraId="2C401AD3" w14:textId="291C3C8D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b/>
          <w:bCs/>
          <w:sz w:val="14"/>
          <w:szCs w:val="14"/>
        </w:rPr>
      </w:pPr>
      <w:r w:rsidRPr="00806E7B">
        <w:rPr>
          <w:rFonts w:ascii="Calibri" w:hAnsi="Calibri" w:cs="Calibri"/>
          <w:b/>
          <w:bCs/>
          <w:sz w:val="14"/>
          <w:szCs w:val="14"/>
        </w:rPr>
        <w:t>KONTAKT DLA MEDIÓW DOT. PUCHARU TYMBARKU</w:t>
      </w:r>
    </w:p>
    <w:p w14:paraId="3251CE05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  <w:r w:rsidRPr="00806E7B">
        <w:rPr>
          <w:rFonts w:ascii="Calibri" w:hAnsi="Calibri" w:cs="Calibri"/>
          <w:sz w:val="14"/>
          <w:szCs w:val="14"/>
        </w:rPr>
        <w:t xml:space="preserve"> </w:t>
      </w:r>
    </w:p>
    <w:p w14:paraId="2C49D7D7" w14:textId="77777777" w:rsid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  <w:sectPr w:rsidR="00806E7B" w:rsidSect="00A500BC">
          <w:headerReference w:type="even" r:id="rId11"/>
          <w:headerReference w:type="default" r:id="rId12"/>
          <w:headerReference w:type="first" r:id="rId13"/>
          <w:pgSz w:w="11906" w:h="16838"/>
          <w:pgMar w:top="3686" w:right="1417" w:bottom="1560" w:left="1417" w:header="708" w:footer="708" w:gutter="0"/>
          <w:cols w:space="708"/>
          <w:docGrid w:linePitch="360"/>
        </w:sectPr>
      </w:pPr>
    </w:p>
    <w:p w14:paraId="07596698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  <w:r w:rsidRPr="00806E7B">
        <w:rPr>
          <w:rFonts w:ascii="Calibri" w:hAnsi="Calibri" w:cs="Calibri"/>
          <w:sz w:val="14"/>
          <w:szCs w:val="14"/>
        </w:rPr>
        <w:t>Patrycja Maciąg – Polski Związek Piłki Nożnej</w:t>
      </w:r>
    </w:p>
    <w:p w14:paraId="0BC1815B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  <w:r w:rsidRPr="00806E7B">
        <w:rPr>
          <w:rFonts w:ascii="Calibri" w:hAnsi="Calibri" w:cs="Calibri"/>
          <w:sz w:val="14"/>
          <w:szCs w:val="14"/>
        </w:rPr>
        <w:t xml:space="preserve">Specjalistka ds. promocji i komunikacji inicjatyw </w:t>
      </w:r>
      <w:proofErr w:type="spellStart"/>
      <w:r w:rsidRPr="00806E7B">
        <w:rPr>
          <w:rFonts w:ascii="Calibri" w:hAnsi="Calibri" w:cs="Calibri"/>
          <w:sz w:val="14"/>
          <w:szCs w:val="14"/>
        </w:rPr>
        <w:t>grassroots</w:t>
      </w:r>
      <w:proofErr w:type="spellEnd"/>
    </w:p>
    <w:p w14:paraId="198C3303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  <w:r w:rsidRPr="00806E7B">
        <w:rPr>
          <w:rFonts w:ascii="Calibri" w:hAnsi="Calibri" w:cs="Calibri"/>
          <w:sz w:val="14"/>
          <w:szCs w:val="14"/>
        </w:rPr>
        <w:t xml:space="preserve">E: patrycja.maciag@pzpn.pl </w:t>
      </w:r>
    </w:p>
    <w:p w14:paraId="328DC159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  <w:r w:rsidRPr="00806E7B">
        <w:rPr>
          <w:rFonts w:ascii="Calibri" w:hAnsi="Calibri" w:cs="Calibri"/>
          <w:sz w:val="14"/>
          <w:szCs w:val="14"/>
        </w:rPr>
        <w:t>T: +48 510 262 670</w:t>
      </w:r>
    </w:p>
    <w:p w14:paraId="033F4336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</w:p>
    <w:p w14:paraId="2D0213DC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</w:p>
    <w:p w14:paraId="43C09CF7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</w:p>
    <w:p w14:paraId="4F52897E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</w:p>
    <w:p w14:paraId="2C7197D7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</w:p>
    <w:p w14:paraId="1CDAF09E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</w:p>
    <w:p w14:paraId="164DAB40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</w:p>
    <w:p w14:paraId="3CAF8586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</w:p>
    <w:p w14:paraId="34A24643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</w:p>
    <w:p w14:paraId="506E5759" w14:textId="77777777" w:rsid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</w:p>
    <w:p w14:paraId="60C254CA" w14:textId="77777777" w:rsid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</w:p>
    <w:p w14:paraId="5AAED568" w14:textId="77777777" w:rsid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</w:p>
    <w:p w14:paraId="62C06429" w14:textId="77777777" w:rsid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</w:p>
    <w:p w14:paraId="71FEF258" w14:textId="77777777" w:rsid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</w:p>
    <w:p w14:paraId="1BDDDA91" w14:textId="77777777" w:rsid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</w:p>
    <w:p w14:paraId="67D93DFF" w14:textId="77777777" w:rsid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</w:p>
    <w:p w14:paraId="02F0091B" w14:textId="77777777" w:rsid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</w:p>
    <w:p w14:paraId="25D77666" w14:textId="77777777" w:rsid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</w:p>
    <w:p w14:paraId="6FEBCED5" w14:textId="77777777" w:rsid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</w:p>
    <w:p w14:paraId="2F9EF866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</w:p>
    <w:p w14:paraId="00AC2CD0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  <w:r w:rsidRPr="00806E7B">
        <w:rPr>
          <w:rFonts w:ascii="Calibri" w:hAnsi="Calibri" w:cs="Calibri"/>
          <w:sz w:val="14"/>
          <w:szCs w:val="14"/>
        </w:rPr>
        <w:t>Daniel Karaś – Grupa Maspex/Tymbark</w:t>
      </w:r>
    </w:p>
    <w:p w14:paraId="683FCD2D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  <w:r w:rsidRPr="00806E7B">
        <w:rPr>
          <w:rFonts w:ascii="Calibri" w:hAnsi="Calibri" w:cs="Calibri"/>
          <w:sz w:val="14"/>
          <w:szCs w:val="14"/>
        </w:rPr>
        <w:t>Rzecznik prasowy Maspex oraz Manager ds. CSR</w:t>
      </w:r>
    </w:p>
    <w:p w14:paraId="72AF183A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  <w:r w:rsidRPr="00806E7B">
        <w:rPr>
          <w:rFonts w:ascii="Calibri" w:hAnsi="Calibri" w:cs="Calibri"/>
          <w:sz w:val="14"/>
          <w:szCs w:val="14"/>
        </w:rPr>
        <w:t>E: d.karas@maspex.com</w:t>
      </w:r>
    </w:p>
    <w:p w14:paraId="3A580235" w14:textId="42416F6B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  <w:r w:rsidRPr="00806E7B">
        <w:rPr>
          <w:rFonts w:ascii="Calibri" w:hAnsi="Calibri" w:cs="Calibri"/>
          <w:sz w:val="14"/>
          <w:szCs w:val="14"/>
        </w:rPr>
        <w:t>T: +48 502 195 114</w:t>
      </w:r>
    </w:p>
    <w:sectPr w:rsidR="00806E7B" w:rsidRPr="00806E7B" w:rsidSect="00806E7B">
      <w:type w:val="continuous"/>
      <w:pgSz w:w="11906" w:h="16838"/>
      <w:pgMar w:top="3686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D0F8C6" w14:textId="77777777" w:rsidR="00665122" w:rsidRDefault="00665122" w:rsidP="009A0A7C">
      <w:pPr>
        <w:spacing w:after="0" w:line="240" w:lineRule="auto"/>
      </w:pPr>
      <w:r>
        <w:separator/>
      </w:r>
    </w:p>
  </w:endnote>
  <w:endnote w:type="continuationSeparator" w:id="0">
    <w:p w14:paraId="783FE0F5" w14:textId="77777777" w:rsidR="00665122" w:rsidRDefault="00665122" w:rsidP="009A0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091AB3" w14:textId="77777777" w:rsidR="00665122" w:rsidRDefault="00665122" w:rsidP="009A0A7C">
      <w:pPr>
        <w:spacing w:after="0" w:line="240" w:lineRule="auto"/>
      </w:pPr>
      <w:r>
        <w:separator/>
      </w:r>
    </w:p>
  </w:footnote>
  <w:footnote w:type="continuationSeparator" w:id="0">
    <w:p w14:paraId="74BF0498" w14:textId="77777777" w:rsidR="00665122" w:rsidRDefault="00665122" w:rsidP="009A0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65529" w14:textId="77777777" w:rsidR="009A0A7C" w:rsidRDefault="00000000">
    <w:pPr>
      <w:pStyle w:val="Nagwek"/>
    </w:pPr>
    <w:r>
      <w:rPr>
        <w:noProof/>
      </w:rPr>
      <w:pict w14:anchorId="63B655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5794360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ier_word_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6552A" w14:textId="60297A79" w:rsidR="009A0A7C" w:rsidRDefault="0089355D">
    <w:pPr>
      <w:pStyle w:val="Nagwek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24C53B7" wp14:editId="589F3B0D">
          <wp:simplePos x="0" y="0"/>
          <wp:positionH relativeFrom="margin">
            <wp:posOffset>-901065</wp:posOffset>
          </wp:positionH>
          <wp:positionV relativeFrom="margin">
            <wp:posOffset>-2333625</wp:posOffset>
          </wp:positionV>
          <wp:extent cx="7555720" cy="10692000"/>
          <wp:effectExtent l="0" t="0" r="7620" b="0"/>
          <wp:wrapNone/>
          <wp:docPr id="162573967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2771789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72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6552D" w14:textId="77777777" w:rsidR="009A0A7C" w:rsidRDefault="00000000">
    <w:pPr>
      <w:pStyle w:val="Nagwek"/>
    </w:pPr>
    <w:r>
      <w:rPr>
        <w:noProof/>
      </w:rPr>
      <w:pict w14:anchorId="63B655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5794359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ier_word_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CE7"/>
    <w:rsid w:val="00005A5C"/>
    <w:rsid w:val="000F7DB6"/>
    <w:rsid w:val="00121DC3"/>
    <w:rsid w:val="001262F7"/>
    <w:rsid w:val="00186544"/>
    <w:rsid w:val="001B477F"/>
    <w:rsid w:val="001D02EC"/>
    <w:rsid w:val="001D23D2"/>
    <w:rsid w:val="00232264"/>
    <w:rsid w:val="002910B0"/>
    <w:rsid w:val="003227DF"/>
    <w:rsid w:val="003F634C"/>
    <w:rsid w:val="004163B2"/>
    <w:rsid w:val="00417A23"/>
    <w:rsid w:val="004257CE"/>
    <w:rsid w:val="004E43CD"/>
    <w:rsid w:val="00516A5F"/>
    <w:rsid w:val="0052141F"/>
    <w:rsid w:val="00553DB9"/>
    <w:rsid w:val="005A4C78"/>
    <w:rsid w:val="005D5A33"/>
    <w:rsid w:val="00636208"/>
    <w:rsid w:val="00665122"/>
    <w:rsid w:val="006E0D1D"/>
    <w:rsid w:val="00702799"/>
    <w:rsid w:val="00806E7B"/>
    <w:rsid w:val="0082376A"/>
    <w:rsid w:val="00860C90"/>
    <w:rsid w:val="00874EBB"/>
    <w:rsid w:val="0089355D"/>
    <w:rsid w:val="008E6D10"/>
    <w:rsid w:val="009A0A7C"/>
    <w:rsid w:val="009C4313"/>
    <w:rsid w:val="00A500BC"/>
    <w:rsid w:val="00AB6D84"/>
    <w:rsid w:val="00AD68CA"/>
    <w:rsid w:val="00AE1324"/>
    <w:rsid w:val="00B34EC4"/>
    <w:rsid w:val="00BF33B2"/>
    <w:rsid w:val="00C840DB"/>
    <w:rsid w:val="00CD3F60"/>
    <w:rsid w:val="00D12CE7"/>
    <w:rsid w:val="00D1405A"/>
    <w:rsid w:val="00D95D44"/>
    <w:rsid w:val="00E52EF6"/>
    <w:rsid w:val="00F83EA4"/>
    <w:rsid w:val="00FF1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B65524"/>
  <w15:chartTrackingRefBased/>
  <w15:docId w15:val="{4A38E9E9-BF42-492D-AD8A-C703446B9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A0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A0A7C"/>
  </w:style>
  <w:style w:type="paragraph" w:styleId="Stopka">
    <w:name w:val="footer"/>
    <w:basedOn w:val="Normalny"/>
    <w:link w:val="StopkaZnak"/>
    <w:uiPriority w:val="99"/>
    <w:unhideWhenUsed/>
    <w:rsid w:val="009A0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A0A7C"/>
  </w:style>
  <w:style w:type="character" w:styleId="Hipercze">
    <w:name w:val="Hyperlink"/>
    <w:basedOn w:val="Domylnaczcionkaakapitu"/>
    <w:uiPriority w:val="99"/>
    <w:unhideWhenUsed/>
    <w:rsid w:val="00806E7B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52EF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52EF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52EF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laczynaspilka.pl/puchartymbarku/aktualnosci/xxv-edycja/jak-zglosic-dziecko-do-pucharu-tymbarku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laczynaspilka.pl/puchartymbarku/harmonogram-rozgrywek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570C0206F69934DBFEAD6EBA2312242" ma:contentTypeVersion="18" ma:contentTypeDescription="Utwórz nowy dokument." ma:contentTypeScope="" ma:versionID="5793c4baebe9f213bc899a9ff710cff7">
  <xsd:schema xmlns:xsd="http://www.w3.org/2001/XMLSchema" xmlns:xs="http://www.w3.org/2001/XMLSchema" xmlns:p="http://schemas.microsoft.com/office/2006/metadata/properties" xmlns:ns2="b4012102-ac5b-4dea-bb68-7cfedfc71f8c" xmlns:ns3="82f2940b-07e7-48c4-881b-b408788995f8" targetNamespace="http://schemas.microsoft.com/office/2006/metadata/properties" ma:root="true" ma:fieldsID="b9f6fda0230b611b3e1b2fc613fb4a4b" ns2:_="" ns3:_="">
    <xsd:import namespace="b4012102-ac5b-4dea-bb68-7cfedfc71f8c"/>
    <xsd:import namespace="82f2940b-07e7-48c4-881b-b408788995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012102-ac5b-4dea-bb68-7cfedfc71f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f33aff98-8054-4ffc-8783-caab45765b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f2940b-07e7-48c4-881b-b408788995f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b7f3291-9064-4059-9d6c-6ebaedccb984}" ma:internalName="TaxCatchAll" ma:showField="CatchAllData" ma:web="82f2940b-07e7-48c4-881b-b408788995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4012102-ac5b-4dea-bb68-7cfedfc71f8c">
      <Terms xmlns="http://schemas.microsoft.com/office/infopath/2007/PartnerControls"/>
    </lcf76f155ced4ddcb4097134ff3c332f>
    <TaxCatchAll xmlns="82f2940b-07e7-48c4-881b-b408788995f8" xsi:nil="true"/>
  </documentManagement>
</p:properties>
</file>

<file path=customXml/itemProps1.xml><?xml version="1.0" encoding="utf-8"?>
<ds:datastoreItem xmlns:ds="http://schemas.openxmlformats.org/officeDocument/2006/customXml" ds:itemID="{B72FA7B8-4CAC-416E-AC6D-DAA1351F3A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012102-ac5b-4dea-bb68-7cfedfc71f8c"/>
    <ds:schemaRef ds:uri="82f2940b-07e7-48c4-881b-b408788995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E5614C-9D7B-463A-AD2C-1351F793D1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E3FC19-128E-4B70-A0F2-7387CFEF6EDA}">
  <ds:schemaRefs>
    <ds:schemaRef ds:uri="http://schemas.microsoft.com/office/2006/metadata/properties"/>
    <ds:schemaRef ds:uri="http://schemas.microsoft.com/office/infopath/2007/PartnerControls"/>
    <ds:schemaRef ds:uri="b4012102-ac5b-4dea-bb68-7cfedfc71f8c"/>
    <ds:schemaRef ds:uri="82f2940b-07e7-48c4-881b-b408788995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629</Words>
  <Characters>3778</Characters>
  <Application>Microsoft Office Word</Application>
  <DocSecurity>0</DocSecurity>
  <Lines>31</Lines>
  <Paragraphs>8</Paragraphs>
  <ScaleCrop>false</ScaleCrop>
  <Company/>
  <LinksUpToDate>false</LinksUpToDate>
  <CharactersWithSpaces>4399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Kołodziej</dc:creator>
  <cp:keywords/>
  <dc:description/>
  <cp:lastModifiedBy>Patrycja Maciąg</cp:lastModifiedBy>
  <cp:revision>22</cp:revision>
  <dcterms:created xsi:type="dcterms:W3CDTF">2025-03-25T00:26:00Z</dcterms:created>
  <dcterms:modified xsi:type="dcterms:W3CDTF">2025-03-25T11:27:00Z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0x010100A570C0206F69934DBFEAD6EBA2312242</vt:lpwstr>
  </property>
</Properties>
</file>